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0B3B31" w14:paraId="5676B0DD" w14:textId="77777777" w:rsidTr="00EA706D">
        <w:trPr>
          <w:trHeight w:val="1500"/>
          <w:tblHeader/>
          <w:tblCellSpacing w:w="15" w:type="dxa"/>
        </w:trPr>
        <w:tc>
          <w:tcPr>
            <w:tcW w:w="0" w:type="auto"/>
            <w:vAlign w:val="center"/>
            <w:hideMark/>
          </w:tcPr>
          <w:p w14:paraId="7A8B8B94" w14:textId="77777777" w:rsidR="000B3B31" w:rsidRDefault="000B3B31" w:rsidP="00EA706D">
            <w:pPr>
              <w:jc w:val="center"/>
              <w:rPr>
                <w:rFonts w:eastAsia="Times New Roman"/>
              </w:rPr>
            </w:pPr>
            <w:bookmarkStart w:id="0" w:name="_GoBack"/>
            <w:bookmarkEnd w:id="0"/>
          </w:p>
        </w:tc>
      </w:tr>
      <w:tr w:rsidR="000B3B31" w14:paraId="220DD5C8" w14:textId="77777777" w:rsidTr="00EA706D">
        <w:trPr>
          <w:trHeight w:val="3000"/>
          <w:tblHeader/>
          <w:tblCellSpacing w:w="15" w:type="dxa"/>
        </w:trPr>
        <w:tc>
          <w:tcPr>
            <w:tcW w:w="0" w:type="auto"/>
            <w:vAlign w:val="center"/>
            <w:hideMark/>
          </w:tcPr>
          <w:p w14:paraId="226BF11E" w14:textId="77777777" w:rsidR="000B3B31" w:rsidRDefault="000B3B31" w:rsidP="00EA706D">
            <w:pPr>
              <w:jc w:val="center"/>
              <w:rPr>
                <w:rFonts w:eastAsia="Times New Roman"/>
              </w:rPr>
            </w:pPr>
          </w:p>
        </w:tc>
      </w:tr>
      <w:tr w:rsidR="000B3B31" w14:paraId="2DC75C8F" w14:textId="77777777" w:rsidTr="00EA706D">
        <w:trPr>
          <w:tblHeader/>
          <w:tblCellSpacing w:w="15" w:type="dxa"/>
        </w:trPr>
        <w:tc>
          <w:tcPr>
            <w:tcW w:w="0" w:type="auto"/>
            <w:vAlign w:val="center"/>
            <w:hideMark/>
          </w:tcPr>
          <w:p w14:paraId="07CF10E2" w14:textId="77777777" w:rsidR="000B3B31" w:rsidRDefault="000B3B31" w:rsidP="00EA706D">
            <w:pPr>
              <w:jc w:val="center"/>
              <w:rPr>
                <w:rFonts w:eastAsia="Times New Roman"/>
              </w:rPr>
            </w:pPr>
            <w:r>
              <w:rPr>
                <w:rFonts w:eastAsia="Times New Roman"/>
                <w:sz w:val="36"/>
                <w:szCs w:val="36"/>
              </w:rPr>
              <w:t xml:space="preserve">Bilecik Şeyh Edebali Üniversitesi </w:t>
            </w:r>
          </w:p>
        </w:tc>
      </w:tr>
      <w:tr w:rsidR="000B3B31" w14:paraId="4F68B767" w14:textId="77777777" w:rsidTr="00EA706D">
        <w:trPr>
          <w:tblHeader/>
          <w:tblCellSpacing w:w="15" w:type="dxa"/>
        </w:trPr>
        <w:tc>
          <w:tcPr>
            <w:tcW w:w="0" w:type="auto"/>
            <w:vAlign w:val="center"/>
            <w:hideMark/>
          </w:tcPr>
          <w:p w14:paraId="5436A51A" w14:textId="77777777" w:rsidR="000B3B31" w:rsidRDefault="000B3B31" w:rsidP="00EA706D">
            <w:pPr>
              <w:jc w:val="center"/>
              <w:rPr>
                <w:rFonts w:eastAsia="Times New Roman"/>
              </w:rPr>
            </w:pPr>
            <w:r>
              <w:rPr>
                <w:rFonts w:eastAsia="Times New Roman"/>
                <w:sz w:val="27"/>
                <w:szCs w:val="27"/>
              </w:rPr>
              <w:t xml:space="preserve">Bozüyük Meslek Yüksekokulu </w:t>
            </w:r>
          </w:p>
        </w:tc>
      </w:tr>
      <w:tr w:rsidR="000B3B31" w14:paraId="58C526CD" w14:textId="77777777" w:rsidTr="00EA706D">
        <w:trPr>
          <w:trHeight w:val="5250"/>
          <w:tblHeader/>
          <w:tblCellSpacing w:w="15" w:type="dxa"/>
        </w:trPr>
        <w:tc>
          <w:tcPr>
            <w:tcW w:w="0" w:type="auto"/>
            <w:vAlign w:val="center"/>
            <w:hideMark/>
          </w:tcPr>
          <w:p w14:paraId="7F50C5E7" w14:textId="77777777" w:rsidR="000B3B31" w:rsidRDefault="000B3B31" w:rsidP="00EA706D">
            <w:pPr>
              <w:jc w:val="center"/>
              <w:rPr>
                <w:rFonts w:eastAsia="Times New Roman"/>
              </w:rPr>
            </w:pPr>
            <w:r>
              <w:rPr>
                <w:rFonts w:eastAsia="Times New Roman"/>
                <w:sz w:val="27"/>
                <w:szCs w:val="27"/>
              </w:rPr>
              <w:t xml:space="preserve">KURUM İÇ DEĞERLENDİRME RAPORU </w:t>
            </w:r>
          </w:p>
        </w:tc>
      </w:tr>
      <w:tr w:rsidR="000B3B31" w14:paraId="22955541" w14:textId="77777777" w:rsidTr="00EA706D">
        <w:trPr>
          <w:trHeight w:val="1500"/>
          <w:tblHeader/>
          <w:tblCellSpacing w:w="15" w:type="dxa"/>
        </w:trPr>
        <w:tc>
          <w:tcPr>
            <w:tcW w:w="0" w:type="auto"/>
            <w:vAlign w:val="center"/>
            <w:hideMark/>
          </w:tcPr>
          <w:p w14:paraId="1E6E784B" w14:textId="77777777" w:rsidR="000B3B31" w:rsidRDefault="000B3B31" w:rsidP="00EA706D">
            <w:pPr>
              <w:jc w:val="center"/>
              <w:rPr>
                <w:rFonts w:eastAsia="Times New Roman"/>
              </w:rPr>
            </w:pPr>
          </w:p>
          <w:p w14:paraId="0F09855A" w14:textId="77777777" w:rsidR="00E93854" w:rsidRDefault="00E93854" w:rsidP="00EA706D">
            <w:pPr>
              <w:jc w:val="center"/>
              <w:rPr>
                <w:rFonts w:eastAsia="Times New Roman"/>
              </w:rPr>
            </w:pPr>
          </w:p>
          <w:p w14:paraId="7B4D98B2" w14:textId="77777777" w:rsidR="00E93854" w:rsidRDefault="00E93854" w:rsidP="00EA706D">
            <w:pPr>
              <w:jc w:val="center"/>
              <w:rPr>
                <w:rFonts w:eastAsia="Times New Roman"/>
              </w:rPr>
            </w:pPr>
          </w:p>
          <w:p w14:paraId="1FF36F97" w14:textId="77777777" w:rsidR="00610B1C" w:rsidRDefault="00610B1C" w:rsidP="00EA706D">
            <w:pPr>
              <w:jc w:val="center"/>
              <w:rPr>
                <w:rFonts w:eastAsia="Times New Roman"/>
              </w:rPr>
            </w:pPr>
          </w:p>
          <w:p w14:paraId="39D87485" w14:textId="77777777" w:rsidR="00610B1C" w:rsidRDefault="00610B1C" w:rsidP="00610B1C">
            <w:pPr>
              <w:rPr>
                <w:rFonts w:eastAsia="Times New Roman"/>
              </w:rPr>
            </w:pPr>
          </w:p>
          <w:p w14:paraId="6AE7DE0C" w14:textId="77777777" w:rsidR="00E93854" w:rsidRDefault="00E93854" w:rsidP="00EA706D">
            <w:pPr>
              <w:jc w:val="center"/>
              <w:rPr>
                <w:rFonts w:eastAsia="Times New Roman"/>
              </w:rPr>
            </w:pPr>
          </w:p>
          <w:p w14:paraId="5C3E5616" w14:textId="77777777" w:rsidR="00E93854" w:rsidRDefault="00E93854" w:rsidP="00EA706D">
            <w:pPr>
              <w:jc w:val="center"/>
              <w:rPr>
                <w:rFonts w:eastAsia="Times New Roman"/>
              </w:rPr>
            </w:pPr>
          </w:p>
          <w:p w14:paraId="5E798134" w14:textId="77777777" w:rsidR="00E93854" w:rsidRDefault="00E93854" w:rsidP="00EA706D">
            <w:pPr>
              <w:jc w:val="center"/>
              <w:rPr>
                <w:rFonts w:eastAsia="Times New Roman"/>
              </w:rPr>
            </w:pPr>
          </w:p>
          <w:p w14:paraId="765E815A" w14:textId="77777777" w:rsidR="00E93854" w:rsidRDefault="00E93854" w:rsidP="00EA706D">
            <w:pPr>
              <w:jc w:val="center"/>
              <w:rPr>
                <w:rFonts w:eastAsia="Times New Roman"/>
              </w:rPr>
            </w:pPr>
          </w:p>
        </w:tc>
      </w:tr>
      <w:tr w:rsidR="000B3B31" w14:paraId="31586388" w14:textId="77777777" w:rsidTr="00EA706D">
        <w:trPr>
          <w:trHeight w:val="1500"/>
          <w:tblHeader/>
          <w:tblCellSpacing w:w="15" w:type="dxa"/>
        </w:trPr>
        <w:tc>
          <w:tcPr>
            <w:tcW w:w="0" w:type="auto"/>
            <w:vAlign w:val="center"/>
            <w:hideMark/>
          </w:tcPr>
          <w:p w14:paraId="55F46652" w14:textId="77777777" w:rsidR="000B3B31" w:rsidRDefault="000B3B31" w:rsidP="00EA706D">
            <w:pPr>
              <w:jc w:val="center"/>
              <w:rPr>
                <w:rFonts w:eastAsia="Times New Roman"/>
              </w:rPr>
            </w:pPr>
            <w:r>
              <w:rPr>
                <w:rFonts w:eastAsia="Times New Roman"/>
              </w:rPr>
              <w:lastRenderedPageBreak/>
              <w:t xml:space="preserve">2025 </w:t>
            </w:r>
          </w:p>
          <w:p w14:paraId="1C062B1D" w14:textId="77777777" w:rsidR="00810739" w:rsidRDefault="00810739" w:rsidP="00EA706D">
            <w:pPr>
              <w:jc w:val="center"/>
              <w:rPr>
                <w:rFonts w:eastAsia="Times New Roman"/>
              </w:rPr>
            </w:pPr>
          </w:p>
          <w:p w14:paraId="33B0AA6A" w14:textId="77777777" w:rsidR="00810739" w:rsidRDefault="00810739" w:rsidP="00EA706D">
            <w:pPr>
              <w:jc w:val="center"/>
              <w:rPr>
                <w:rFonts w:eastAsia="Times New Roman"/>
              </w:rPr>
            </w:pPr>
          </w:p>
          <w:p w14:paraId="1B8664CD" w14:textId="77777777" w:rsidR="00810739" w:rsidRDefault="00810739" w:rsidP="00EA706D">
            <w:pPr>
              <w:jc w:val="center"/>
              <w:rPr>
                <w:rFonts w:eastAsia="Times New Roman"/>
              </w:rPr>
            </w:pPr>
          </w:p>
          <w:p w14:paraId="0DD5BA1B" w14:textId="77777777" w:rsidR="00810739" w:rsidRDefault="00810739" w:rsidP="00EA706D">
            <w:pPr>
              <w:jc w:val="center"/>
              <w:rPr>
                <w:rFonts w:eastAsia="Times New Roman"/>
              </w:rPr>
            </w:pPr>
          </w:p>
          <w:p w14:paraId="5B516909" w14:textId="77777777" w:rsidR="00810739" w:rsidRDefault="00810739" w:rsidP="00EA706D">
            <w:pPr>
              <w:jc w:val="center"/>
              <w:rPr>
                <w:rFonts w:eastAsia="Times New Roman"/>
              </w:rPr>
            </w:pPr>
          </w:p>
          <w:p w14:paraId="5D376632" w14:textId="77777777" w:rsidR="00810739" w:rsidRDefault="00810739" w:rsidP="00EA706D">
            <w:pPr>
              <w:jc w:val="center"/>
              <w:rPr>
                <w:rFonts w:eastAsia="Times New Roman"/>
              </w:rPr>
            </w:pPr>
          </w:p>
        </w:tc>
      </w:tr>
    </w:tbl>
    <w:p w14:paraId="26EF2A4E" w14:textId="77777777" w:rsidR="000B3B31" w:rsidRDefault="000B3B31" w:rsidP="000B3B31">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100"/>
      </w:tblGrid>
      <w:tr w:rsidR="000B3B31" w14:paraId="0E94AAEF" w14:textId="77777777" w:rsidTr="00EA706D">
        <w:tc>
          <w:tcPr>
            <w:tcW w:w="0" w:type="auto"/>
            <w:tcBorders>
              <w:top w:val="single" w:sz="6" w:space="0" w:color="auto"/>
              <w:left w:val="single" w:sz="6" w:space="0" w:color="auto"/>
              <w:bottom w:val="single" w:sz="6" w:space="0" w:color="auto"/>
              <w:right w:val="single" w:sz="6" w:space="0" w:color="auto"/>
            </w:tcBorders>
            <w:vAlign w:val="center"/>
            <w:hideMark/>
          </w:tcPr>
          <w:p w14:paraId="4036BA44" w14:textId="77777777" w:rsidR="000B3B31" w:rsidRDefault="000B3B31" w:rsidP="00EA706D">
            <w:pPr>
              <w:rPr>
                <w:rFonts w:eastAsia="Times New Roman"/>
              </w:rPr>
            </w:pPr>
            <w:r>
              <w:rPr>
                <w:rFonts w:eastAsia="Times New Roman"/>
                <w:b/>
                <w:bCs/>
              </w:rPr>
              <w:t>A. LİDERLİK, YÖNETİŞİM ve KALİTE</w:t>
            </w:r>
          </w:p>
        </w:tc>
      </w:tr>
      <w:tr w:rsidR="000B3B31" w14:paraId="5F3CA5E4" w14:textId="77777777" w:rsidTr="00EA706D">
        <w:tc>
          <w:tcPr>
            <w:tcW w:w="0" w:type="auto"/>
            <w:tcBorders>
              <w:top w:val="single" w:sz="6" w:space="0" w:color="auto"/>
              <w:left w:val="single" w:sz="6" w:space="0" w:color="auto"/>
              <w:bottom w:val="single" w:sz="6" w:space="0" w:color="auto"/>
              <w:right w:val="single" w:sz="6" w:space="0" w:color="auto"/>
            </w:tcBorders>
            <w:vAlign w:val="center"/>
            <w:hideMark/>
          </w:tcPr>
          <w:p w14:paraId="786E3956" w14:textId="77777777" w:rsidR="000B3B31" w:rsidRDefault="000B3B31" w:rsidP="00EA706D">
            <w:pPr>
              <w:numPr>
                <w:ilvl w:val="0"/>
                <w:numId w:val="1"/>
              </w:numPr>
              <w:spacing w:before="100" w:beforeAutospacing="1" w:after="100" w:afterAutospacing="1"/>
              <w:rPr>
                <w:rFonts w:eastAsia="Times New Roman"/>
              </w:rPr>
            </w:pPr>
            <w:r>
              <w:rPr>
                <w:rFonts w:eastAsia="Times New Roman"/>
              </w:rPr>
              <w:t xml:space="preserve">A.1. Liderlik ve Kalite </w:t>
            </w:r>
          </w:p>
          <w:p w14:paraId="379A8005" w14:textId="77777777" w:rsidR="000B3B31" w:rsidRDefault="000B3B31" w:rsidP="00EA706D">
            <w:pPr>
              <w:numPr>
                <w:ilvl w:val="2"/>
                <w:numId w:val="1"/>
              </w:numPr>
              <w:spacing w:before="100" w:beforeAutospacing="1" w:after="100" w:afterAutospacing="1"/>
              <w:rPr>
                <w:rFonts w:eastAsia="Times New Roman"/>
              </w:rPr>
            </w:pPr>
            <w:r>
              <w:rPr>
                <w:rFonts w:eastAsia="Times New Roman"/>
              </w:rPr>
              <w:t xml:space="preserve">A.1.1. Yönetişim modeli ve idari yapı </w:t>
            </w:r>
          </w:p>
          <w:p w14:paraId="3D2E0952" w14:textId="77777777" w:rsidR="000B3B31" w:rsidRDefault="000B3B31" w:rsidP="00EA706D">
            <w:pPr>
              <w:numPr>
                <w:ilvl w:val="2"/>
                <w:numId w:val="1"/>
              </w:numPr>
              <w:spacing w:before="100" w:beforeAutospacing="1" w:after="100" w:afterAutospacing="1"/>
              <w:rPr>
                <w:rFonts w:eastAsia="Times New Roman"/>
              </w:rPr>
            </w:pPr>
            <w:r>
              <w:rPr>
                <w:rFonts w:eastAsia="Times New Roman"/>
              </w:rPr>
              <w:t xml:space="preserve">A.1.4. İç kalite güvencesi mekanizmaları </w:t>
            </w:r>
          </w:p>
          <w:p w14:paraId="2A286FE6" w14:textId="77777777" w:rsidR="000B3B31" w:rsidRDefault="000B3B31" w:rsidP="00EA706D">
            <w:pPr>
              <w:numPr>
                <w:ilvl w:val="2"/>
                <w:numId w:val="1"/>
              </w:numPr>
              <w:spacing w:before="100" w:beforeAutospacing="1" w:after="100" w:afterAutospacing="1"/>
              <w:rPr>
                <w:rFonts w:eastAsia="Times New Roman"/>
              </w:rPr>
            </w:pPr>
            <w:r>
              <w:rPr>
                <w:rFonts w:eastAsia="Times New Roman"/>
              </w:rPr>
              <w:t xml:space="preserve">A.1.5. Kamuoyunu bilgilendirme ve hesap verebilirlik </w:t>
            </w:r>
          </w:p>
          <w:p w14:paraId="6C598D9D" w14:textId="77777777" w:rsidR="000B3B31" w:rsidRDefault="000B3B31" w:rsidP="00EA706D">
            <w:pPr>
              <w:numPr>
                <w:ilvl w:val="0"/>
                <w:numId w:val="1"/>
              </w:numPr>
              <w:spacing w:before="100" w:beforeAutospacing="1" w:after="100" w:afterAutospacing="1"/>
              <w:rPr>
                <w:rFonts w:eastAsia="Times New Roman"/>
              </w:rPr>
            </w:pPr>
            <w:r>
              <w:rPr>
                <w:rFonts w:eastAsia="Times New Roman"/>
              </w:rPr>
              <w:t xml:space="preserve">A.3. Yönetim Sistemleri </w:t>
            </w:r>
          </w:p>
          <w:p w14:paraId="429AAFAE" w14:textId="77777777" w:rsidR="000B3B31" w:rsidRDefault="000B3B31" w:rsidP="00EA706D">
            <w:pPr>
              <w:numPr>
                <w:ilvl w:val="2"/>
                <w:numId w:val="1"/>
              </w:numPr>
              <w:spacing w:before="100" w:beforeAutospacing="1" w:after="100" w:afterAutospacing="1"/>
              <w:rPr>
                <w:rFonts w:eastAsia="Times New Roman"/>
              </w:rPr>
            </w:pPr>
            <w:r>
              <w:rPr>
                <w:rFonts w:eastAsia="Times New Roman"/>
              </w:rPr>
              <w:t xml:space="preserve">A.3.2. İnsan kaynakları yönetimi </w:t>
            </w:r>
          </w:p>
          <w:p w14:paraId="43527290" w14:textId="77777777" w:rsidR="000B3B31" w:rsidRDefault="000B3B31" w:rsidP="00EA706D">
            <w:pPr>
              <w:numPr>
                <w:ilvl w:val="2"/>
                <w:numId w:val="1"/>
              </w:numPr>
              <w:spacing w:before="100" w:beforeAutospacing="1" w:after="100" w:afterAutospacing="1"/>
              <w:rPr>
                <w:rFonts w:eastAsia="Times New Roman"/>
              </w:rPr>
            </w:pPr>
            <w:r>
              <w:rPr>
                <w:rFonts w:eastAsia="Times New Roman"/>
              </w:rPr>
              <w:t xml:space="preserve">A.3.4. Süreç yönetimi </w:t>
            </w:r>
          </w:p>
          <w:p w14:paraId="4D01DBAC" w14:textId="77777777" w:rsidR="000B3B31" w:rsidRDefault="000B3B31" w:rsidP="00EA706D">
            <w:pPr>
              <w:numPr>
                <w:ilvl w:val="0"/>
                <w:numId w:val="1"/>
              </w:numPr>
              <w:spacing w:before="100" w:beforeAutospacing="1" w:after="100" w:afterAutospacing="1"/>
              <w:rPr>
                <w:rFonts w:eastAsia="Times New Roman"/>
              </w:rPr>
            </w:pPr>
            <w:r>
              <w:rPr>
                <w:rFonts w:eastAsia="Times New Roman"/>
              </w:rPr>
              <w:t xml:space="preserve">A.4. Paydaş Katılımı </w:t>
            </w:r>
          </w:p>
          <w:p w14:paraId="5B553BC3" w14:textId="77777777" w:rsidR="000B3B31" w:rsidRDefault="000B3B31" w:rsidP="00EA706D">
            <w:pPr>
              <w:numPr>
                <w:ilvl w:val="2"/>
                <w:numId w:val="1"/>
              </w:numPr>
              <w:spacing w:before="100" w:beforeAutospacing="1" w:after="100" w:afterAutospacing="1"/>
              <w:rPr>
                <w:rFonts w:eastAsia="Times New Roman"/>
              </w:rPr>
            </w:pPr>
            <w:r>
              <w:rPr>
                <w:rFonts w:eastAsia="Times New Roman"/>
              </w:rPr>
              <w:t xml:space="preserve">A.4.1. İç ve dış paydaş katılımı </w:t>
            </w:r>
          </w:p>
          <w:p w14:paraId="6FE27F5A" w14:textId="77777777" w:rsidR="000B3B31" w:rsidRDefault="000B3B31" w:rsidP="00EA706D">
            <w:pPr>
              <w:numPr>
                <w:ilvl w:val="2"/>
                <w:numId w:val="1"/>
              </w:numPr>
              <w:spacing w:before="100" w:beforeAutospacing="1" w:after="100" w:afterAutospacing="1"/>
              <w:rPr>
                <w:rFonts w:eastAsia="Times New Roman"/>
              </w:rPr>
            </w:pPr>
            <w:r>
              <w:rPr>
                <w:rFonts w:eastAsia="Times New Roman"/>
              </w:rPr>
              <w:t xml:space="preserve">A.4.2. Öğrenci geri bildirimleri </w:t>
            </w:r>
          </w:p>
        </w:tc>
      </w:tr>
      <w:tr w:rsidR="000B3B31" w14:paraId="1F18DD96" w14:textId="77777777" w:rsidTr="00EA706D">
        <w:tc>
          <w:tcPr>
            <w:tcW w:w="0" w:type="auto"/>
            <w:tcBorders>
              <w:top w:val="single" w:sz="6" w:space="0" w:color="auto"/>
              <w:left w:val="single" w:sz="6" w:space="0" w:color="auto"/>
              <w:bottom w:val="single" w:sz="6" w:space="0" w:color="auto"/>
              <w:right w:val="single" w:sz="6" w:space="0" w:color="auto"/>
            </w:tcBorders>
            <w:vAlign w:val="center"/>
            <w:hideMark/>
          </w:tcPr>
          <w:p w14:paraId="34B501F5" w14:textId="77777777" w:rsidR="000B3B31" w:rsidRDefault="000B3B31" w:rsidP="00EA706D">
            <w:pPr>
              <w:rPr>
                <w:rFonts w:eastAsia="Times New Roman"/>
              </w:rPr>
            </w:pPr>
            <w:r>
              <w:rPr>
                <w:rFonts w:eastAsia="Times New Roman"/>
                <w:b/>
                <w:bCs/>
              </w:rPr>
              <w:t>B. EĞİTİM - ÖĞRETİM</w:t>
            </w:r>
          </w:p>
        </w:tc>
      </w:tr>
      <w:tr w:rsidR="000B3B31" w14:paraId="0408EBE6" w14:textId="77777777" w:rsidTr="00EA706D">
        <w:tc>
          <w:tcPr>
            <w:tcW w:w="0" w:type="auto"/>
            <w:tcBorders>
              <w:top w:val="single" w:sz="6" w:space="0" w:color="auto"/>
              <w:left w:val="single" w:sz="6" w:space="0" w:color="auto"/>
              <w:bottom w:val="single" w:sz="6" w:space="0" w:color="auto"/>
              <w:right w:val="single" w:sz="6" w:space="0" w:color="auto"/>
            </w:tcBorders>
            <w:vAlign w:val="center"/>
            <w:hideMark/>
          </w:tcPr>
          <w:p w14:paraId="17F98535" w14:textId="77777777" w:rsidR="000B3B31" w:rsidRDefault="000B3B31" w:rsidP="00EA706D">
            <w:pPr>
              <w:numPr>
                <w:ilvl w:val="0"/>
                <w:numId w:val="2"/>
              </w:numPr>
              <w:spacing w:before="100" w:beforeAutospacing="1" w:after="100" w:afterAutospacing="1"/>
              <w:rPr>
                <w:rFonts w:eastAsia="Times New Roman"/>
              </w:rPr>
            </w:pPr>
            <w:r>
              <w:rPr>
                <w:rFonts w:eastAsia="Times New Roman"/>
              </w:rPr>
              <w:t xml:space="preserve">B.1. Program Tasarımı, Değerlendirmesi ve Güncellenmesi </w:t>
            </w:r>
          </w:p>
          <w:p w14:paraId="5A780131"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B.1.1. Programların tasarımı ve onayı </w:t>
            </w:r>
          </w:p>
          <w:p w14:paraId="48D2A4D2"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B.1.2. Programın ders dağılım dengesi </w:t>
            </w:r>
          </w:p>
          <w:p w14:paraId="5409D4F8"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B.1.3. Ders kazanımlarının program çıktılarıyla uyumu </w:t>
            </w:r>
          </w:p>
          <w:p w14:paraId="183C0F47"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B.1.4. Öğrenci iş yüküne dayalı ders tasarımı </w:t>
            </w:r>
          </w:p>
          <w:p w14:paraId="5322E0D2"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B.1.5. Programların izlenmesi ve güncellenmesi </w:t>
            </w:r>
          </w:p>
          <w:p w14:paraId="7C17C3CF"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B.1.6. Eğitim ve öğretim süreçlerinin yönetimi </w:t>
            </w:r>
          </w:p>
          <w:p w14:paraId="36BFCF24" w14:textId="77777777" w:rsidR="000B3B31" w:rsidRDefault="000B3B31" w:rsidP="00EA706D">
            <w:pPr>
              <w:numPr>
                <w:ilvl w:val="0"/>
                <w:numId w:val="2"/>
              </w:numPr>
              <w:spacing w:before="100" w:beforeAutospacing="1" w:after="100" w:afterAutospacing="1"/>
              <w:rPr>
                <w:rFonts w:eastAsia="Times New Roman"/>
              </w:rPr>
            </w:pPr>
            <w:r>
              <w:rPr>
                <w:rFonts w:eastAsia="Times New Roman"/>
              </w:rPr>
              <w:t xml:space="preserve">B.2. Programların Yürütülmesi (Öğrenci Merkezli Öğrenme, Öğretme ve Değerlendirme) </w:t>
            </w:r>
          </w:p>
          <w:p w14:paraId="777A6421"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B.2.1. Öğretim yöntem ve teknikleri </w:t>
            </w:r>
          </w:p>
          <w:p w14:paraId="2D602DD7"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B.2.2. Ölçme ve değerlendirme </w:t>
            </w:r>
          </w:p>
          <w:p w14:paraId="5DCB61A7"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B.2.3. Öğrenci kabulü, önceki öğrenmenin tanınması ve kredilendirilmesi </w:t>
            </w:r>
          </w:p>
          <w:p w14:paraId="5E6E279F"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B.2.4. Yeterliliklerin sertifikalandırılması ve diploma </w:t>
            </w:r>
          </w:p>
          <w:p w14:paraId="42F2E471" w14:textId="77777777" w:rsidR="000B3B31" w:rsidRDefault="000B3B31" w:rsidP="00EA706D">
            <w:pPr>
              <w:numPr>
                <w:ilvl w:val="0"/>
                <w:numId w:val="2"/>
              </w:numPr>
              <w:spacing w:before="100" w:beforeAutospacing="1" w:after="100" w:afterAutospacing="1"/>
              <w:rPr>
                <w:rFonts w:eastAsia="Times New Roman"/>
              </w:rPr>
            </w:pPr>
            <w:r>
              <w:rPr>
                <w:rFonts w:eastAsia="Times New Roman"/>
              </w:rPr>
              <w:t xml:space="preserve">B.3. Öğrenme Kaynakları ve Akademik Destek Hizmetleri </w:t>
            </w:r>
          </w:p>
          <w:p w14:paraId="7B32892E"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B.3.1. Öğrenme ortam ve kaynakları </w:t>
            </w:r>
          </w:p>
          <w:p w14:paraId="5CC5AA83"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B.3.2. Akademik destek hizmetleri </w:t>
            </w:r>
          </w:p>
          <w:p w14:paraId="262B46B9"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B.3.3. Tesis ve altyapılar </w:t>
            </w:r>
          </w:p>
          <w:p w14:paraId="6544E698"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B.3.4. Dezavantajlı gruplar </w:t>
            </w:r>
          </w:p>
          <w:p w14:paraId="1F4F48B0"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B.3.5. Sosyal, kültürel, sportif faaliyetler </w:t>
            </w:r>
          </w:p>
          <w:p w14:paraId="3FA437E4" w14:textId="77777777" w:rsidR="000B3B31" w:rsidRDefault="000B3B31" w:rsidP="00EA706D">
            <w:pPr>
              <w:numPr>
                <w:ilvl w:val="0"/>
                <w:numId w:val="2"/>
              </w:numPr>
              <w:spacing w:before="100" w:beforeAutospacing="1" w:after="100" w:afterAutospacing="1"/>
              <w:rPr>
                <w:rFonts w:eastAsia="Times New Roman"/>
              </w:rPr>
            </w:pPr>
            <w:r>
              <w:rPr>
                <w:rFonts w:eastAsia="Times New Roman"/>
              </w:rPr>
              <w:t xml:space="preserve">B.4. Öğretim Kadrosu </w:t>
            </w:r>
          </w:p>
          <w:p w14:paraId="1A010943"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B.4.1. Atama, yükseltme ve görevlendirme kriterleri </w:t>
            </w:r>
          </w:p>
          <w:p w14:paraId="34CD043D"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B.4.2. Öğretim yetkinlikleri ve gelişimi </w:t>
            </w:r>
          </w:p>
          <w:p w14:paraId="38287B24" w14:textId="77777777" w:rsidR="000B3B31" w:rsidRDefault="000B3B31" w:rsidP="00EA706D">
            <w:pPr>
              <w:numPr>
                <w:ilvl w:val="2"/>
                <w:numId w:val="2"/>
              </w:numPr>
              <w:spacing w:before="100" w:beforeAutospacing="1" w:after="100" w:afterAutospacing="1"/>
              <w:rPr>
                <w:rFonts w:eastAsia="Times New Roman"/>
              </w:rPr>
            </w:pPr>
            <w:r>
              <w:rPr>
                <w:rFonts w:eastAsia="Times New Roman"/>
              </w:rPr>
              <w:t xml:space="preserve">B.4.3. Eğitim faaliyetlerine yönelik teşvik ve ödüllendirme </w:t>
            </w:r>
          </w:p>
        </w:tc>
      </w:tr>
      <w:tr w:rsidR="000B3B31" w14:paraId="1065AE57" w14:textId="77777777" w:rsidTr="00EA706D">
        <w:tc>
          <w:tcPr>
            <w:tcW w:w="0" w:type="auto"/>
            <w:tcBorders>
              <w:top w:val="single" w:sz="6" w:space="0" w:color="auto"/>
              <w:left w:val="single" w:sz="6" w:space="0" w:color="auto"/>
              <w:bottom w:val="single" w:sz="6" w:space="0" w:color="auto"/>
              <w:right w:val="single" w:sz="6" w:space="0" w:color="auto"/>
            </w:tcBorders>
            <w:vAlign w:val="center"/>
            <w:hideMark/>
          </w:tcPr>
          <w:p w14:paraId="654E8588" w14:textId="77777777" w:rsidR="000B3B31" w:rsidRDefault="000B3B31" w:rsidP="00EA706D">
            <w:pPr>
              <w:rPr>
                <w:rFonts w:eastAsia="Times New Roman"/>
              </w:rPr>
            </w:pPr>
            <w:r>
              <w:rPr>
                <w:rFonts w:eastAsia="Times New Roman"/>
                <w:b/>
                <w:bCs/>
              </w:rPr>
              <w:t>C. ARAŞTIRMA VE GELİŞTİRME</w:t>
            </w:r>
          </w:p>
        </w:tc>
      </w:tr>
      <w:tr w:rsidR="000B3B31" w14:paraId="7396A3BF" w14:textId="77777777" w:rsidTr="00EA706D">
        <w:tc>
          <w:tcPr>
            <w:tcW w:w="0" w:type="auto"/>
            <w:tcBorders>
              <w:top w:val="single" w:sz="6" w:space="0" w:color="auto"/>
              <w:left w:val="single" w:sz="6" w:space="0" w:color="auto"/>
              <w:bottom w:val="single" w:sz="6" w:space="0" w:color="auto"/>
              <w:right w:val="single" w:sz="6" w:space="0" w:color="auto"/>
            </w:tcBorders>
            <w:vAlign w:val="center"/>
            <w:hideMark/>
          </w:tcPr>
          <w:p w14:paraId="27DE03B8" w14:textId="77777777" w:rsidR="000B3B31" w:rsidRDefault="000B3B31" w:rsidP="00EA706D">
            <w:pPr>
              <w:numPr>
                <w:ilvl w:val="0"/>
                <w:numId w:val="3"/>
              </w:numPr>
              <w:spacing w:before="100" w:beforeAutospacing="1" w:after="100" w:afterAutospacing="1"/>
              <w:rPr>
                <w:rFonts w:eastAsia="Times New Roman"/>
              </w:rPr>
            </w:pPr>
            <w:r>
              <w:rPr>
                <w:rFonts w:eastAsia="Times New Roman"/>
              </w:rPr>
              <w:t xml:space="preserve">C.1. Araştırma Süreçlerinin Yönetimi ve Araştırma Kaynakları </w:t>
            </w:r>
          </w:p>
          <w:p w14:paraId="0B416198" w14:textId="77777777" w:rsidR="000B3B31" w:rsidRDefault="000B3B31" w:rsidP="00EA706D">
            <w:pPr>
              <w:numPr>
                <w:ilvl w:val="2"/>
                <w:numId w:val="3"/>
              </w:numPr>
              <w:spacing w:before="100" w:beforeAutospacing="1" w:after="100" w:afterAutospacing="1"/>
              <w:rPr>
                <w:rFonts w:eastAsia="Times New Roman"/>
              </w:rPr>
            </w:pPr>
            <w:r>
              <w:rPr>
                <w:rFonts w:eastAsia="Times New Roman"/>
              </w:rPr>
              <w:t xml:space="preserve">C.1.1. Araştırma süreçlerinin yönetimi </w:t>
            </w:r>
          </w:p>
          <w:p w14:paraId="6649BD16" w14:textId="77777777" w:rsidR="000B3B31" w:rsidRDefault="000B3B31" w:rsidP="00EA706D">
            <w:pPr>
              <w:numPr>
                <w:ilvl w:val="2"/>
                <w:numId w:val="3"/>
              </w:numPr>
              <w:spacing w:before="100" w:beforeAutospacing="1" w:after="100" w:afterAutospacing="1"/>
              <w:rPr>
                <w:rFonts w:eastAsia="Times New Roman"/>
              </w:rPr>
            </w:pPr>
            <w:r>
              <w:rPr>
                <w:rFonts w:eastAsia="Times New Roman"/>
              </w:rPr>
              <w:t xml:space="preserve">C.1.2. İç ve dış kaynaklar </w:t>
            </w:r>
          </w:p>
          <w:p w14:paraId="35E7F006" w14:textId="77777777" w:rsidR="000B3B31" w:rsidRDefault="000B3B31" w:rsidP="00EA706D">
            <w:pPr>
              <w:numPr>
                <w:ilvl w:val="0"/>
                <w:numId w:val="3"/>
              </w:numPr>
              <w:spacing w:before="100" w:beforeAutospacing="1" w:after="100" w:afterAutospacing="1"/>
              <w:rPr>
                <w:rFonts w:eastAsia="Times New Roman"/>
              </w:rPr>
            </w:pPr>
            <w:r>
              <w:rPr>
                <w:rFonts w:eastAsia="Times New Roman"/>
              </w:rPr>
              <w:t xml:space="preserve">C.2. Araştırma Yetkinliği, İş birlikleri ve Destekler </w:t>
            </w:r>
          </w:p>
          <w:p w14:paraId="1DEFF9C3" w14:textId="77777777" w:rsidR="000B3B31" w:rsidRDefault="000B3B31" w:rsidP="00EA706D">
            <w:pPr>
              <w:numPr>
                <w:ilvl w:val="2"/>
                <w:numId w:val="3"/>
              </w:numPr>
              <w:spacing w:before="100" w:beforeAutospacing="1" w:after="100" w:afterAutospacing="1"/>
              <w:rPr>
                <w:rFonts w:eastAsia="Times New Roman"/>
              </w:rPr>
            </w:pPr>
            <w:r>
              <w:rPr>
                <w:rFonts w:eastAsia="Times New Roman"/>
              </w:rPr>
              <w:t xml:space="preserve">C.2.1. Araştırma yetkinlikleri ve gelişimi </w:t>
            </w:r>
          </w:p>
          <w:p w14:paraId="1A4D70AE" w14:textId="77777777" w:rsidR="000B3B31" w:rsidRDefault="000B3B31" w:rsidP="00EA706D">
            <w:pPr>
              <w:numPr>
                <w:ilvl w:val="2"/>
                <w:numId w:val="3"/>
              </w:numPr>
              <w:spacing w:before="100" w:beforeAutospacing="1" w:after="100" w:afterAutospacing="1"/>
              <w:rPr>
                <w:rFonts w:eastAsia="Times New Roman"/>
              </w:rPr>
            </w:pPr>
            <w:r>
              <w:rPr>
                <w:rFonts w:eastAsia="Times New Roman"/>
              </w:rPr>
              <w:t xml:space="preserve">C.2.2. Ulusal ve uluslararası ortak programlar ve ortak araştırma birimleri </w:t>
            </w:r>
          </w:p>
          <w:p w14:paraId="27E87796" w14:textId="77777777" w:rsidR="000B3B31" w:rsidRDefault="000B3B31" w:rsidP="00EA706D">
            <w:pPr>
              <w:numPr>
                <w:ilvl w:val="0"/>
                <w:numId w:val="3"/>
              </w:numPr>
              <w:spacing w:before="100" w:beforeAutospacing="1" w:after="100" w:afterAutospacing="1"/>
              <w:rPr>
                <w:rFonts w:eastAsia="Times New Roman"/>
              </w:rPr>
            </w:pPr>
            <w:r>
              <w:rPr>
                <w:rFonts w:eastAsia="Times New Roman"/>
              </w:rPr>
              <w:lastRenderedPageBreak/>
              <w:t xml:space="preserve">C.3. Araştırma Performansı </w:t>
            </w:r>
          </w:p>
          <w:p w14:paraId="1C408E0F" w14:textId="77777777" w:rsidR="000B3B31" w:rsidRDefault="000B3B31" w:rsidP="00EA706D">
            <w:pPr>
              <w:numPr>
                <w:ilvl w:val="2"/>
                <w:numId w:val="3"/>
              </w:numPr>
              <w:spacing w:before="100" w:beforeAutospacing="1" w:after="100" w:afterAutospacing="1"/>
              <w:rPr>
                <w:rFonts w:eastAsia="Times New Roman"/>
              </w:rPr>
            </w:pPr>
            <w:r>
              <w:rPr>
                <w:rFonts w:eastAsia="Times New Roman"/>
              </w:rPr>
              <w:t xml:space="preserve">C.3.1. Araştırma performansının izlenmesi ve değerlendirilmesi </w:t>
            </w:r>
          </w:p>
        </w:tc>
      </w:tr>
      <w:tr w:rsidR="000B3B31" w14:paraId="3A681CD0" w14:textId="77777777" w:rsidTr="00EA706D">
        <w:tc>
          <w:tcPr>
            <w:tcW w:w="0" w:type="auto"/>
            <w:tcBorders>
              <w:top w:val="single" w:sz="6" w:space="0" w:color="auto"/>
              <w:left w:val="single" w:sz="6" w:space="0" w:color="auto"/>
              <w:bottom w:val="single" w:sz="6" w:space="0" w:color="auto"/>
              <w:right w:val="single" w:sz="6" w:space="0" w:color="auto"/>
            </w:tcBorders>
            <w:vAlign w:val="center"/>
            <w:hideMark/>
          </w:tcPr>
          <w:p w14:paraId="7514CF78" w14:textId="77777777" w:rsidR="000B3B31" w:rsidRDefault="000B3B31" w:rsidP="00EA706D">
            <w:pPr>
              <w:rPr>
                <w:rFonts w:eastAsia="Times New Roman"/>
              </w:rPr>
            </w:pPr>
            <w:r>
              <w:rPr>
                <w:rFonts w:eastAsia="Times New Roman"/>
                <w:b/>
                <w:bCs/>
              </w:rPr>
              <w:lastRenderedPageBreak/>
              <w:t>D. TOPLUMSAL KATKI</w:t>
            </w:r>
          </w:p>
        </w:tc>
      </w:tr>
      <w:tr w:rsidR="000B3B31" w14:paraId="57A4BECF" w14:textId="77777777" w:rsidTr="00E93854">
        <w:trPr>
          <w:trHeight w:val="254"/>
        </w:trPr>
        <w:tc>
          <w:tcPr>
            <w:tcW w:w="0" w:type="auto"/>
            <w:tcBorders>
              <w:top w:val="single" w:sz="6" w:space="0" w:color="auto"/>
              <w:left w:val="single" w:sz="6" w:space="0" w:color="auto"/>
              <w:bottom w:val="single" w:sz="6" w:space="0" w:color="auto"/>
              <w:right w:val="single" w:sz="6" w:space="0" w:color="auto"/>
            </w:tcBorders>
            <w:vAlign w:val="center"/>
            <w:hideMark/>
          </w:tcPr>
          <w:p w14:paraId="472638E5" w14:textId="77777777" w:rsidR="000B3B31" w:rsidRDefault="000B3B31" w:rsidP="00EA706D">
            <w:pPr>
              <w:numPr>
                <w:ilvl w:val="0"/>
                <w:numId w:val="4"/>
              </w:numPr>
              <w:spacing w:before="100" w:beforeAutospacing="1" w:after="100" w:afterAutospacing="1"/>
              <w:rPr>
                <w:rFonts w:eastAsia="Times New Roman"/>
              </w:rPr>
            </w:pPr>
            <w:r>
              <w:rPr>
                <w:rFonts w:eastAsia="Times New Roman"/>
              </w:rPr>
              <w:t xml:space="preserve">D.2. Toplumsal Katkı Performansı </w:t>
            </w:r>
          </w:p>
          <w:p w14:paraId="20618129" w14:textId="77777777" w:rsidR="000B3B31" w:rsidRDefault="000B3B31" w:rsidP="00EA706D">
            <w:pPr>
              <w:numPr>
                <w:ilvl w:val="2"/>
                <w:numId w:val="4"/>
              </w:numPr>
              <w:spacing w:before="100" w:beforeAutospacing="1" w:after="100" w:afterAutospacing="1"/>
              <w:rPr>
                <w:rFonts w:eastAsia="Times New Roman"/>
              </w:rPr>
            </w:pPr>
            <w:r>
              <w:rPr>
                <w:rFonts w:eastAsia="Times New Roman"/>
              </w:rPr>
              <w:t xml:space="preserve">D.2.1.Toplumsal katkı performansının izlenmesi ve değerlendirilmesi </w:t>
            </w:r>
          </w:p>
        </w:tc>
      </w:tr>
    </w:tbl>
    <w:p w14:paraId="6638FEE3" w14:textId="77777777" w:rsidR="000B3B31" w:rsidRDefault="000B3B31" w:rsidP="000B3B31">
      <w:pPr>
        <w:rPr>
          <w:rFonts w:eastAsia="Times New Roman"/>
          <w:vanish/>
        </w:rPr>
      </w:pPr>
    </w:p>
    <w:tbl>
      <w:tblPr>
        <w:tblW w:w="4963" w:type="pct"/>
        <w:tblCellSpacing w:w="15" w:type="dxa"/>
        <w:tblCellMar>
          <w:top w:w="15" w:type="dxa"/>
          <w:left w:w="15" w:type="dxa"/>
          <w:bottom w:w="15" w:type="dxa"/>
          <w:right w:w="15" w:type="dxa"/>
        </w:tblCellMar>
        <w:tblLook w:val="04A0" w:firstRow="1" w:lastRow="0" w:firstColumn="1" w:lastColumn="0" w:noHBand="0" w:noVBand="1"/>
      </w:tblPr>
      <w:tblGrid>
        <w:gridCol w:w="9092"/>
      </w:tblGrid>
      <w:tr w:rsidR="000B3B31" w14:paraId="4AF37801" w14:textId="77777777" w:rsidTr="007B33C9">
        <w:trPr>
          <w:trHeight w:val="353"/>
          <w:tblCellSpacing w:w="15" w:type="dxa"/>
        </w:trPr>
        <w:tc>
          <w:tcPr>
            <w:tcW w:w="0" w:type="auto"/>
            <w:vAlign w:val="center"/>
            <w:hideMark/>
          </w:tcPr>
          <w:p w14:paraId="339735B0" w14:textId="77777777" w:rsidR="000B3B31" w:rsidRDefault="000B3B31" w:rsidP="00EA706D">
            <w:pPr>
              <w:rPr>
                <w:rFonts w:eastAsia="Times New Roman"/>
              </w:rPr>
            </w:pPr>
          </w:p>
        </w:tc>
      </w:tr>
    </w:tbl>
    <w:p w14:paraId="794F9ABF" w14:textId="77777777" w:rsidR="007B33C9" w:rsidRPr="007B33C9" w:rsidRDefault="007B33C9" w:rsidP="007B33C9">
      <w:pPr>
        <w:rPr>
          <w:b/>
        </w:rPr>
      </w:pPr>
      <w:r w:rsidRPr="007B33C9">
        <w:rPr>
          <w:b/>
        </w:rPr>
        <w:t>A. LİDERLİK, YÖNETİŞİM ve KALİTE</w:t>
      </w:r>
    </w:p>
    <w:p w14:paraId="7DF09029" w14:textId="77777777" w:rsidR="007B33C9" w:rsidRPr="007B33C9" w:rsidRDefault="007B33C9" w:rsidP="007B33C9">
      <w:pPr>
        <w:rPr>
          <w:b/>
        </w:rPr>
      </w:pPr>
    </w:p>
    <w:p w14:paraId="10D781FD" w14:textId="77777777" w:rsidR="007B33C9" w:rsidRPr="007B33C9" w:rsidRDefault="007B33C9" w:rsidP="00810739">
      <w:pPr>
        <w:ind w:left="426"/>
        <w:rPr>
          <w:b/>
        </w:rPr>
      </w:pPr>
      <w:r w:rsidRPr="007B33C9">
        <w:rPr>
          <w:b/>
        </w:rPr>
        <w:t>A.1. Liderlik ve Kalite</w:t>
      </w:r>
    </w:p>
    <w:p w14:paraId="36A27B96" w14:textId="77777777" w:rsidR="007B33C9" w:rsidRPr="007B33C9" w:rsidRDefault="007B33C9" w:rsidP="00E93854">
      <w:pPr>
        <w:ind w:left="426"/>
        <w:rPr>
          <w:b/>
        </w:rPr>
      </w:pPr>
    </w:p>
    <w:p w14:paraId="126BF792" w14:textId="77777777" w:rsidR="007B33C9" w:rsidRPr="007B33C9" w:rsidRDefault="007B33C9" w:rsidP="00810739">
      <w:pPr>
        <w:ind w:left="709"/>
        <w:rPr>
          <w:b/>
        </w:rPr>
      </w:pPr>
      <w:r w:rsidRPr="007B33C9">
        <w:rPr>
          <w:b/>
        </w:rPr>
        <w:t>A.1.1. Yönetişim modeli ve idari yapı</w:t>
      </w:r>
    </w:p>
    <w:p w14:paraId="530559DB" w14:textId="77777777" w:rsidR="007B33C9" w:rsidRDefault="007B33C9" w:rsidP="007B33C9"/>
    <w:p w14:paraId="0F54FAC8" w14:textId="77777777" w:rsidR="007B33C9" w:rsidRDefault="007B33C9" w:rsidP="00E93854">
      <w:pPr>
        <w:ind w:left="426"/>
        <w:jc w:val="both"/>
      </w:pPr>
      <w:r>
        <w:t>Bozüyük Meslek Yüksekokulu, Bilecik Şeyh Edebali Üniversitesi Kurum İç Değerlendirme Raporunda açıklandığı gibi “Bilecik Şeyh Edebali Üniversitesi yönetsel düzeyde, görev ve sorumlulukların tanımlı olduğu 2547 sayılı Yükseköğretim Kanunu’nda belirtilen hiyerarşik bir organizasyon yapısına bağlı olarak kurulmuş olmakla birlikte, kurum akademik ve idari yapılanmasında görüldüğü gibi, çalışanların karar alma süreçlerine aktif olarak katıldığı katılımcı bir yönetim modelini benimsemiştir.” ifadesine bağlı kalmış ve bu politikayı “Yönetim Sistemi Politikası” olarak benimsemiştir.</w:t>
      </w:r>
    </w:p>
    <w:p w14:paraId="4A25846D" w14:textId="77777777" w:rsidR="007B33C9" w:rsidRDefault="007B33C9" w:rsidP="007B33C9">
      <w:r>
        <w:t xml:space="preserve"> </w:t>
      </w:r>
    </w:p>
    <w:p w14:paraId="1C56252A" w14:textId="77777777" w:rsidR="007B33C9" w:rsidRDefault="007B33C9" w:rsidP="00E93854">
      <w:pPr>
        <w:ind w:left="426"/>
        <w:jc w:val="both"/>
      </w:pPr>
      <w:r>
        <w:t xml:space="preserve">Yüksekokulumuzun yönetim sistematiği 2547 sayılı “Yükseköğretim Kanunu” ve “Üniversitelerde Akademik Teşkilat Yönetmeliği” hükümleri gereğince oluşturulmuştur. Kurum organları; Müdür, Yüksekokul Kurulu ve Yüksekokul Yönetim Kurulundan oluşmaktadır. Yüksekokul yöneticileri ise müdür, müdür yardımcıları, bölüm başkanları ve yüksekokul sekreteridir. Yüksekokulumuzun yönetim ve idari yapılanmasını gösteren ilgili “organizasyon şeması“ Yüksekokulumuzun web sayfasında kamuoyu ile (iç ve dış paydaşlar) paylaşılmıştır </w:t>
      </w:r>
      <w:r w:rsidRPr="007B33C9">
        <w:rPr>
          <w:color w:val="0000FF"/>
        </w:rPr>
        <w:t>(OD4)</w:t>
      </w:r>
      <w:r>
        <w:t xml:space="preserve">. Yine mezkûr şema ile ilgili görev tanımları ve iş akış şemaları, 2547 Sayılı “Yükseköğretim Kanunu” ve "Üniversitelerde Akademik Teşkilat Yönetmeliği" hükümleri gereğince tespit edilmiş olup </w:t>
      </w:r>
      <w:r w:rsidRPr="007B33C9">
        <w:rPr>
          <w:color w:val="17365D" w:themeColor="text2" w:themeShade="BF"/>
        </w:rPr>
        <w:t>(</w:t>
      </w:r>
      <w:r w:rsidRPr="007B33C9">
        <w:rPr>
          <w:color w:val="0000FF"/>
        </w:rPr>
        <w:t>OD4) (OD4)</w:t>
      </w:r>
      <w:r>
        <w:t>, ilgili “görev tanımları” ve “iş akış süreçleri” de Yüksekokulumuzun web sayfasında iç ve dış paydaşlarımız ile paylaşılmıştır (OD4),</w:t>
      </w:r>
    </w:p>
    <w:p w14:paraId="2FDC6E63" w14:textId="77777777" w:rsidR="007B33C9" w:rsidRDefault="007B33C9" w:rsidP="007B33C9">
      <w:r>
        <w:t xml:space="preserve"> </w:t>
      </w:r>
    </w:p>
    <w:p w14:paraId="3683934C" w14:textId="77777777" w:rsidR="007B33C9" w:rsidRDefault="007B33C9" w:rsidP="00E93854">
      <w:pPr>
        <w:ind w:left="426"/>
        <w:jc w:val="both"/>
      </w:pPr>
      <w:r>
        <w:t>Yüksekokulda yönetim süreçlerinde karar mekanizması, farklı idari ve yönetim düzeyinden, ilgili tüm birimlerden, akademik ve idari personelden oluşturulmuş komisyon ve kurullar yoluyla katılımcı bir yaklaşımla gerçekleşmektedir [5_OD4][6_OD4]. Bu anlamda güncellenen komisyonlar arasında “Kalite Komisyonu”, “Akademik Teşvik Değerlendirme Komisyonu”, “Staj Komisyonu”, “3+1 İş Yeri Uygulaması Komisyonu” yer almaktadır. Komisyon ve kurullara ait kanıt belgeleri istenildiğinde sunulmak üzere kalite dosyasında saklanmaktadır.</w:t>
      </w:r>
    </w:p>
    <w:p w14:paraId="70B6A173" w14:textId="77777777" w:rsidR="007B33C9" w:rsidRDefault="007B33C9" w:rsidP="007B33C9">
      <w:r>
        <w:t xml:space="preserve"> </w:t>
      </w:r>
    </w:p>
    <w:p w14:paraId="295CA6A0" w14:textId="77777777" w:rsidR="007B33C9" w:rsidRDefault="007B33C9" w:rsidP="00E93854">
      <w:pPr>
        <w:ind w:left="426"/>
        <w:jc w:val="both"/>
      </w:pPr>
      <w:r>
        <w:t xml:space="preserve">Üniversitemiz 2023 yılı Eylül ayından itibaren Akademik Veri Yönetim Sistemi'ne (AVESİS) geçiş yapmıştır. İlgili sistem, girilen verilere göre birim, bölüm ve kişi bazında akademik faaliyet raporlarının oluşturulmasını sağlamaktadır. </w:t>
      </w:r>
      <w:r w:rsidRPr="007B33C9">
        <w:rPr>
          <w:color w:val="0000FF"/>
        </w:rPr>
        <w:t>(OD4)</w:t>
      </w:r>
      <w:r w:rsidRPr="007B33C9">
        <w:t>.</w:t>
      </w:r>
    </w:p>
    <w:p w14:paraId="627106B0" w14:textId="77777777" w:rsidR="007B33C9" w:rsidRDefault="007B33C9" w:rsidP="007B33C9">
      <w:r>
        <w:t xml:space="preserve"> </w:t>
      </w:r>
    </w:p>
    <w:p w14:paraId="251A817B" w14:textId="77777777" w:rsidR="007B33C9" w:rsidRPr="00E93854" w:rsidRDefault="007B33C9" w:rsidP="00E93854">
      <w:pPr>
        <w:ind w:left="426"/>
        <w:rPr>
          <w:b/>
        </w:rPr>
      </w:pPr>
      <w:r w:rsidRPr="00E93854">
        <w:rPr>
          <w:b/>
        </w:rPr>
        <w:t>Kanıtlar</w:t>
      </w:r>
    </w:p>
    <w:p w14:paraId="04E6029C" w14:textId="77777777" w:rsidR="007B33C9" w:rsidRDefault="007B33C9" w:rsidP="00E93854">
      <w:pPr>
        <w:ind w:left="426"/>
      </w:pPr>
      <w:r>
        <w:t>[5](4)A.1.1.akademik_kurul _toplanti_yazisi_E-24755483-051-281740</w:t>
      </w:r>
    </w:p>
    <w:p w14:paraId="06FED39F" w14:textId="77777777" w:rsidR="007B33C9" w:rsidRDefault="007B33C9" w:rsidP="00E93854">
      <w:pPr>
        <w:ind w:left="426"/>
      </w:pPr>
      <w:r>
        <w:t>[6](4)A.1.1.etkinlik_duzenleme_kurulu_yazisi_E-:24755483-051/231861</w:t>
      </w:r>
    </w:p>
    <w:p w14:paraId="79093008" w14:textId="77777777" w:rsidR="007B33C9" w:rsidRDefault="007B33C9" w:rsidP="007B33C9"/>
    <w:p w14:paraId="7084A8BA" w14:textId="77777777" w:rsidR="00554865" w:rsidRDefault="007B33C9" w:rsidP="00E93854">
      <w:pPr>
        <w:ind w:left="709"/>
        <w:jc w:val="both"/>
      </w:pPr>
      <w:r w:rsidRPr="007B33C9">
        <w:rPr>
          <w:b/>
        </w:rPr>
        <w:t xml:space="preserve">Olgunluk Değeri 4 : </w:t>
      </w:r>
      <w:r>
        <w:t>Kurumun yönetişim ve organizasyonel yapılanmasına ilişkin uygulamaları izlenmekte ve iyileştirilmektedir.</w:t>
      </w:r>
    </w:p>
    <w:p w14:paraId="2C49D14C" w14:textId="77777777" w:rsidR="00E93854" w:rsidRDefault="00E93854" w:rsidP="00E93854">
      <w:pPr>
        <w:ind w:left="709"/>
        <w:jc w:val="both"/>
      </w:pPr>
    </w:p>
    <w:p w14:paraId="26EF0F7A" w14:textId="77777777" w:rsidR="00E93854" w:rsidRDefault="00E93854" w:rsidP="00E93854">
      <w:pPr>
        <w:ind w:left="709"/>
        <w:jc w:val="both"/>
      </w:pPr>
    </w:p>
    <w:p w14:paraId="3C317E02" w14:textId="77777777" w:rsidR="00E93854" w:rsidRDefault="00E93854" w:rsidP="00E93854">
      <w:pPr>
        <w:ind w:left="709"/>
        <w:jc w:val="both"/>
      </w:pPr>
    </w:p>
    <w:p w14:paraId="51BBDF87" w14:textId="77777777" w:rsidR="00E93854" w:rsidRDefault="00E93854" w:rsidP="00E93854">
      <w:pPr>
        <w:ind w:left="709"/>
        <w:jc w:val="both"/>
      </w:pPr>
    </w:p>
    <w:p w14:paraId="2F7B1EDA" w14:textId="77777777" w:rsidR="00E93854" w:rsidRDefault="00E93854" w:rsidP="00E93854">
      <w:pPr>
        <w:ind w:left="709"/>
        <w:jc w:val="both"/>
      </w:pPr>
    </w:p>
    <w:p w14:paraId="177C3521" w14:textId="77777777" w:rsidR="00610B1C" w:rsidRDefault="00610B1C" w:rsidP="00E93854">
      <w:pPr>
        <w:ind w:left="709"/>
        <w:jc w:val="both"/>
      </w:pPr>
    </w:p>
    <w:p w14:paraId="215B5EC0" w14:textId="77777777" w:rsidR="00E93854" w:rsidRDefault="00E93854" w:rsidP="00E93854">
      <w:pPr>
        <w:ind w:left="709"/>
        <w:jc w:val="both"/>
      </w:pPr>
    </w:p>
    <w:p w14:paraId="494E9F27" w14:textId="77777777" w:rsidR="00E93854" w:rsidRDefault="00E93854" w:rsidP="00E93854">
      <w:pPr>
        <w:ind w:left="709"/>
        <w:jc w:val="both"/>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160"/>
      </w:tblGrid>
      <w:tr w:rsidR="00D94D48" w:rsidRPr="00D94D48" w14:paraId="229D5788" w14:textId="77777777" w:rsidTr="00EA706D">
        <w:trPr>
          <w:tblCellSpacing w:w="15" w:type="dxa"/>
        </w:trPr>
        <w:tc>
          <w:tcPr>
            <w:tcW w:w="0" w:type="auto"/>
            <w:vAlign w:val="center"/>
            <w:hideMark/>
          </w:tcPr>
          <w:p w14:paraId="683C65DF" w14:textId="77777777" w:rsidR="00CD3461" w:rsidRDefault="00D94D48" w:rsidP="00E93854">
            <w:pPr>
              <w:ind w:left="759"/>
              <w:jc w:val="both"/>
              <w:rPr>
                <w:b/>
                <w:bCs/>
              </w:rPr>
            </w:pPr>
            <w:r w:rsidRPr="00D94D48">
              <w:rPr>
                <w:b/>
                <w:bCs/>
              </w:rPr>
              <w:t>A.1.4. İç kalite güvencesi mekanizmaları</w:t>
            </w:r>
          </w:p>
          <w:p w14:paraId="701CF985" w14:textId="77777777" w:rsidR="00A3639B" w:rsidRPr="00D94D48" w:rsidRDefault="00A3639B" w:rsidP="00D94D48">
            <w:pPr>
              <w:jc w:val="both"/>
              <w:rPr>
                <w:b/>
                <w:bCs/>
              </w:rPr>
            </w:pPr>
          </w:p>
        </w:tc>
      </w:tr>
      <w:tr w:rsidR="00D94D48" w:rsidRPr="00D94D48" w14:paraId="4B41936E" w14:textId="77777777" w:rsidTr="00EA706D">
        <w:trPr>
          <w:tblCellSpacing w:w="15" w:type="dxa"/>
        </w:trPr>
        <w:tc>
          <w:tcPr>
            <w:tcW w:w="0" w:type="auto"/>
            <w:vAlign w:val="center"/>
            <w:hideMark/>
          </w:tcPr>
          <w:tbl>
            <w:tblPr>
              <w:tblW w:w="0" w:type="auto"/>
              <w:tblCellSpacing w:w="15" w:type="dxa"/>
              <w:tblInd w:w="375" w:type="dxa"/>
              <w:tblCellMar>
                <w:top w:w="15" w:type="dxa"/>
                <w:left w:w="15" w:type="dxa"/>
                <w:bottom w:w="15" w:type="dxa"/>
                <w:right w:w="15" w:type="dxa"/>
              </w:tblCellMar>
              <w:tblLook w:val="04A0" w:firstRow="1" w:lastRow="0" w:firstColumn="1" w:lastColumn="0" w:noHBand="0" w:noVBand="1"/>
            </w:tblPr>
            <w:tblGrid>
              <w:gridCol w:w="4845"/>
              <w:gridCol w:w="30"/>
              <w:gridCol w:w="1861"/>
              <w:gridCol w:w="1959"/>
            </w:tblGrid>
            <w:tr w:rsidR="00D94D48" w:rsidRPr="00D94D48" w14:paraId="231C92AB" w14:textId="77777777" w:rsidTr="00A3639B">
              <w:trPr>
                <w:tblCellSpacing w:w="15" w:type="dxa"/>
              </w:trPr>
              <w:tc>
                <w:tcPr>
                  <w:tcW w:w="8637" w:type="dxa"/>
                  <w:gridSpan w:val="4"/>
                  <w:vAlign w:val="center"/>
                  <w:hideMark/>
                </w:tcPr>
                <w:p w14:paraId="0933CBC2" w14:textId="77777777" w:rsidR="00D94D48" w:rsidRPr="00D94D48" w:rsidRDefault="00D94D48" w:rsidP="00D94D48">
                  <w:pPr>
                    <w:jc w:val="both"/>
                  </w:pPr>
                  <w:r w:rsidRPr="00D94D48">
                    <w:rPr>
                      <w:b/>
                      <w:bCs/>
                    </w:rPr>
                    <w:t>Birim Kalite Organizasyonu Yapısı</w:t>
                  </w:r>
                </w:p>
              </w:tc>
            </w:tr>
            <w:tr w:rsidR="00A3639B" w:rsidRPr="00D94D48" w14:paraId="7994FA6D" w14:textId="77777777" w:rsidTr="00A3639B">
              <w:trPr>
                <w:tblCellSpacing w:w="15" w:type="dxa"/>
              </w:trPr>
              <w:tc>
                <w:tcPr>
                  <w:tcW w:w="0" w:type="auto"/>
                  <w:gridSpan w:val="2"/>
                  <w:tcBorders>
                    <w:top w:val="single" w:sz="4" w:space="0" w:color="auto"/>
                    <w:left w:val="single" w:sz="4" w:space="0" w:color="auto"/>
                    <w:bottom w:val="single" w:sz="4" w:space="0" w:color="auto"/>
                    <w:right w:val="single" w:sz="6" w:space="0" w:color="auto"/>
                  </w:tcBorders>
                  <w:vAlign w:val="center"/>
                  <w:hideMark/>
                </w:tcPr>
                <w:p w14:paraId="1A335EA6" w14:textId="77777777" w:rsidR="00D94D48" w:rsidRPr="00D94D48" w:rsidRDefault="00D94D48" w:rsidP="00D94D48">
                  <w:pPr>
                    <w:jc w:val="both"/>
                  </w:pPr>
                  <w:r w:rsidRPr="00D94D48">
                    <w:t> </w:t>
                  </w:r>
                </w:p>
              </w:tc>
              <w:tc>
                <w:tcPr>
                  <w:tcW w:w="1831" w:type="dxa"/>
                  <w:tcBorders>
                    <w:top w:val="single" w:sz="4" w:space="0" w:color="auto"/>
                    <w:left w:val="single" w:sz="6" w:space="0" w:color="auto"/>
                    <w:bottom w:val="single" w:sz="4" w:space="0" w:color="auto"/>
                    <w:right w:val="single" w:sz="6" w:space="0" w:color="auto"/>
                  </w:tcBorders>
                  <w:vAlign w:val="center"/>
                  <w:hideMark/>
                </w:tcPr>
                <w:p w14:paraId="3FC2C672" w14:textId="77777777" w:rsidR="00D94D48" w:rsidRPr="00D94D48" w:rsidRDefault="00D94D48" w:rsidP="00A3639B">
                  <w:pPr>
                    <w:jc w:val="center"/>
                  </w:pPr>
                  <w:r w:rsidRPr="00D94D48">
                    <w:rPr>
                      <w:b/>
                      <w:bCs/>
                    </w:rPr>
                    <w:t>Adı Soyadı</w:t>
                  </w:r>
                </w:p>
              </w:tc>
              <w:tc>
                <w:tcPr>
                  <w:tcW w:w="1914" w:type="dxa"/>
                  <w:tcBorders>
                    <w:top w:val="single" w:sz="4" w:space="0" w:color="auto"/>
                    <w:left w:val="single" w:sz="6" w:space="0" w:color="auto"/>
                    <w:bottom w:val="single" w:sz="4" w:space="0" w:color="auto"/>
                    <w:right w:val="single" w:sz="4" w:space="0" w:color="auto"/>
                  </w:tcBorders>
                  <w:vAlign w:val="center"/>
                  <w:hideMark/>
                </w:tcPr>
                <w:p w14:paraId="2E43C979" w14:textId="77777777" w:rsidR="00D94D48" w:rsidRPr="00D94D48" w:rsidRDefault="00D94D48" w:rsidP="00A3639B">
                  <w:pPr>
                    <w:jc w:val="center"/>
                  </w:pPr>
                  <w:r w:rsidRPr="00D94D48">
                    <w:rPr>
                      <w:b/>
                      <w:bCs/>
                    </w:rPr>
                    <w:t>Ünvanı</w:t>
                  </w:r>
                </w:p>
              </w:tc>
            </w:tr>
            <w:tr w:rsidR="00A3639B" w:rsidRPr="00D94D48" w14:paraId="30AAF0C6" w14:textId="77777777" w:rsidTr="00A3639B">
              <w:trPr>
                <w:tblCellSpacing w:w="15" w:type="dxa"/>
              </w:trPr>
              <w:tc>
                <w:tcPr>
                  <w:tcW w:w="4802" w:type="dxa"/>
                  <w:tcBorders>
                    <w:top w:val="single" w:sz="4" w:space="0" w:color="auto"/>
                    <w:left w:val="single" w:sz="4" w:space="0" w:color="auto"/>
                    <w:bottom w:val="single" w:sz="6" w:space="0" w:color="auto"/>
                    <w:right w:val="single" w:sz="6" w:space="0" w:color="auto"/>
                  </w:tcBorders>
                  <w:vAlign w:val="center"/>
                  <w:hideMark/>
                </w:tcPr>
                <w:p w14:paraId="63580EC6" w14:textId="77777777" w:rsidR="00D94D48" w:rsidRPr="00D94D48" w:rsidRDefault="00D94D48" w:rsidP="00A3639B">
                  <w:pPr>
                    <w:ind w:right="253"/>
                    <w:jc w:val="both"/>
                    <w:rPr>
                      <w:sz w:val="20"/>
                    </w:rPr>
                  </w:pPr>
                  <w:r w:rsidRPr="00D94D48">
                    <w:rPr>
                      <w:sz w:val="20"/>
                    </w:rPr>
                    <w:t>Kalite Temsilcisi</w:t>
                  </w:r>
                </w:p>
              </w:tc>
              <w:tc>
                <w:tcPr>
                  <w:tcW w:w="1861" w:type="dxa"/>
                  <w:gridSpan w:val="2"/>
                  <w:tcBorders>
                    <w:top w:val="single" w:sz="4" w:space="0" w:color="auto"/>
                    <w:left w:val="single" w:sz="6" w:space="0" w:color="auto"/>
                    <w:bottom w:val="single" w:sz="6" w:space="0" w:color="auto"/>
                    <w:right w:val="single" w:sz="6" w:space="0" w:color="auto"/>
                  </w:tcBorders>
                  <w:vAlign w:val="center"/>
                  <w:hideMark/>
                </w:tcPr>
                <w:p w14:paraId="443BA06A" w14:textId="77777777" w:rsidR="00D94D48" w:rsidRPr="00D94D48" w:rsidRDefault="00D94D48" w:rsidP="00A3639B">
                  <w:pPr>
                    <w:ind w:right="395"/>
                    <w:jc w:val="both"/>
                    <w:rPr>
                      <w:sz w:val="20"/>
                    </w:rPr>
                  </w:pPr>
                  <w:r w:rsidRPr="00D94D48">
                    <w:rPr>
                      <w:sz w:val="20"/>
                    </w:rPr>
                    <w:t> Dr. Öğr. Üyesi Vahdet Altundal</w:t>
                  </w:r>
                </w:p>
              </w:tc>
              <w:tc>
                <w:tcPr>
                  <w:tcW w:w="1914" w:type="dxa"/>
                  <w:tcBorders>
                    <w:top w:val="single" w:sz="4" w:space="0" w:color="auto"/>
                    <w:left w:val="single" w:sz="6" w:space="0" w:color="auto"/>
                    <w:bottom w:val="single" w:sz="6" w:space="0" w:color="auto"/>
                    <w:right w:val="single" w:sz="4" w:space="0" w:color="auto"/>
                  </w:tcBorders>
                  <w:vAlign w:val="center"/>
                  <w:hideMark/>
                </w:tcPr>
                <w:p w14:paraId="3E85DE38" w14:textId="77777777" w:rsidR="00D94D48" w:rsidRPr="00D94D48" w:rsidRDefault="00D94D48" w:rsidP="00D94D48">
                  <w:pPr>
                    <w:jc w:val="both"/>
                    <w:rPr>
                      <w:sz w:val="20"/>
                    </w:rPr>
                  </w:pPr>
                  <w:r w:rsidRPr="00D94D48">
                    <w:rPr>
                      <w:sz w:val="20"/>
                    </w:rPr>
                    <w:t>Müdür</w:t>
                  </w:r>
                </w:p>
              </w:tc>
            </w:tr>
            <w:tr w:rsidR="00A3639B" w:rsidRPr="00D94D48" w14:paraId="7C94D80F" w14:textId="77777777" w:rsidTr="00A3639B">
              <w:trPr>
                <w:tblCellSpacing w:w="15" w:type="dxa"/>
              </w:trPr>
              <w:tc>
                <w:tcPr>
                  <w:tcW w:w="4802" w:type="dxa"/>
                  <w:tcBorders>
                    <w:top w:val="single" w:sz="6" w:space="0" w:color="auto"/>
                    <w:left w:val="single" w:sz="4" w:space="0" w:color="auto"/>
                    <w:bottom w:val="single" w:sz="6" w:space="0" w:color="auto"/>
                    <w:right w:val="single" w:sz="6" w:space="0" w:color="auto"/>
                  </w:tcBorders>
                  <w:vAlign w:val="center"/>
                  <w:hideMark/>
                </w:tcPr>
                <w:p w14:paraId="28E39B05" w14:textId="77777777" w:rsidR="00D94D48" w:rsidRPr="00D94D48" w:rsidRDefault="00D94D48" w:rsidP="00A3639B">
                  <w:pPr>
                    <w:ind w:right="253"/>
                    <w:jc w:val="both"/>
                    <w:rPr>
                      <w:sz w:val="20"/>
                    </w:rPr>
                  </w:pPr>
                  <w:r w:rsidRPr="00D94D48">
                    <w:rPr>
                      <w:sz w:val="20"/>
                    </w:rPr>
                    <w:t>Kalite Raportörü</w:t>
                  </w:r>
                </w:p>
              </w:tc>
              <w:tc>
                <w:tcPr>
                  <w:tcW w:w="1861" w:type="dxa"/>
                  <w:gridSpan w:val="2"/>
                  <w:tcBorders>
                    <w:top w:val="single" w:sz="6" w:space="0" w:color="auto"/>
                    <w:left w:val="single" w:sz="6" w:space="0" w:color="auto"/>
                    <w:bottom w:val="single" w:sz="6" w:space="0" w:color="auto"/>
                    <w:right w:val="single" w:sz="6" w:space="0" w:color="auto"/>
                  </w:tcBorders>
                  <w:vAlign w:val="center"/>
                  <w:hideMark/>
                </w:tcPr>
                <w:p w14:paraId="3EBEE668" w14:textId="77777777" w:rsidR="00D94D48" w:rsidRPr="00D94D48" w:rsidRDefault="00D94D48" w:rsidP="00A3639B">
                  <w:pPr>
                    <w:ind w:right="395"/>
                    <w:jc w:val="both"/>
                    <w:rPr>
                      <w:sz w:val="20"/>
                    </w:rPr>
                  </w:pPr>
                  <w:r w:rsidRPr="00D94D48">
                    <w:rPr>
                      <w:sz w:val="20"/>
                    </w:rPr>
                    <w:t>Mesut Özkaranfil</w:t>
                  </w:r>
                </w:p>
              </w:tc>
              <w:tc>
                <w:tcPr>
                  <w:tcW w:w="1914" w:type="dxa"/>
                  <w:tcBorders>
                    <w:top w:val="single" w:sz="6" w:space="0" w:color="auto"/>
                    <w:left w:val="single" w:sz="6" w:space="0" w:color="auto"/>
                    <w:bottom w:val="single" w:sz="6" w:space="0" w:color="auto"/>
                    <w:right w:val="single" w:sz="4" w:space="0" w:color="auto"/>
                  </w:tcBorders>
                  <w:vAlign w:val="center"/>
                  <w:hideMark/>
                </w:tcPr>
                <w:p w14:paraId="3C9A0A95" w14:textId="77777777" w:rsidR="00D94D48" w:rsidRPr="00D94D48" w:rsidRDefault="00D94D48" w:rsidP="00D94D48">
                  <w:pPr>
                    <w:jc w:val="both"/>
                    <w:rPr>
                      <w:sz w:val="20"/>
                    </w:rPr>
                  </w:pPr>
                  <w:r w:rsidRPr="00D94D48">
                    <w:rPr>
                      <w:sz w:val="20"/>
                    </w:rPr>
                    <w:t>Yüksekokul Sekreteri</w:t>
                  </w:r>
                </w:p>
              </w:tc>
            </w:tr>
            <w:tr w:rsidR="00A3639B" w:rsidRPr="00D94D48" w14:paraId="18E96FAC" w14:textId="77777777" w:rsidTr="00A3639B">
              <w:trPr>
                <w:tblCellSpacing w:w="15" w:type="dxa"/>
              </w:trPr>
              <w:tc>
                <w:tcPr>
                  <w:tcW w:w="4802" w:type="dxa"/>
                  <w:tcBorders>
                    <w:top w:val="single" w:sz="6" w:space="0" w:color="auto"/>
                    <w:left w:val="single" w:sz="4" w:space="0" w:color="auto"/>
                    <w:bottom w:val="single" w:sz="6" w:space="0" w:color="auto"/>
                    <w:right w:val="single" w:sz="6" w:space="0" w:color="auto"/>
                  </w:tcBorders>
                  <w:vAlign w:val="center"/>
                  <w:hideMark/>
                </w:tcPr>
                <w:p w14:paraId="7531A0CC" w14:textId="77777777" w:rsidR="00D94D48" w:rsidRPr="00D94D48" w:rsidRDefault="00D94D48" w:rsidP="00A3639B">
                  <w:pPr>
                    <w:ind w:right="253"/>
                    <w:jc w:val="both"/>
                    <w:rPr>
                      <w:sz w:val="20"/>
                    </w:rPr>
                  </w:pPr>
                  <w:r w:rsidRPr="00D94D48">
                    <w:rPr>
                      <w:sz w:val="20"/>
                    </w:rPr>
                    <w:t>Eğitim Öğretim Sorumlusu</w:t>
                  </w:r>
                </w:p>
              </w:tc>
              <w:tc>
                <w:tcPr>
                  <w:tcW w:w="1861" w:type="dxa"/>
                  <w:gridSpan w:val="2"/>
                  <w:tcBorders>
                    <w:top w:val="single" w:sz="6" w:space="0" w:color="auto"/>
                    <w:left w:val="single" w:sz="6" w:space="0" w:color="auto"/>
                    <w:bottom w:val="single" w:sz="6" w:space="0" w:color="auto"/>
                    <w:right w:val="single" w:sz="6" w:space="0" w:color="auto"/>
                  </w:tcBorders>
                  <w:vAlign w:val="center"/>
                  <w:hideMark/>
                </w:tcPr>
                <w:p w14:paraId="0BF29AF0" w14:textId="77777777" w:rsidR="00D94D48" w:rsidRPr="00D94D48" w:rsidRDefault="00D94D48" w:rsidP="00A3639B">
                  <w:pPr>
                    <w:ind w:right="395"/>
                    <w:jc w:val="both"/>
                    <w:rPr>
                      <w:sz w:val="20"/>
                    </w:rPr>
                  </w:pPr>
                  <w:r w:rsidRPr="00D94D48">
                    <w:rPr>
                      <w:sz w:val="20"/>
                    </w:rPr>
                    <w:t>Betül İnam</w:t>
                  </w:r>
                </w:p>
              </w:tc>
              <w:tc>
                <w:tcPr>
                  <w:tcW w:w="1914" w:type="dxa"/>
                  <w:tcBorders>
                    <w:top w:val="single" w:sz="6" w:space="0" w:color="auto"/>
                    <w:left w:val="single" w:sz="6" w:space="0" w:color="auto"/>
                    <w:bottom w:val="single" w:sz="6" w:space="0" w:color="auto"/>
                    <w:right w:val="single" w:sz="4" w:space="0" w:color="auto"/>
                  </w:tcBorders>
                  <w:vAlign w:val="center"/>
                  <w:hideMark/>
                </w:tcPr>
                <w:p w14:paraId="752EA128" w14:textId="77777777" w:rsidR="00D94D48" w:rsidRPr="00D94D48" w:rsidRDefault="00D94D48" w:rsidP="00D94D48">
                  <w:pPr>
                    <w:jc w:val="both"/>
                    <w:rPr>
                      <w:sz w:val="20"/>
                    </w:rPr>
                  </w:pPr>
                  <w:r w:rsidRPr="00D94D48">
                    <w:rPr>
                      <w:sz w:val="20"/>
                    </w:rPr>
                    <w:t>Dr. Öğr. Üyesi</w:t>
                  </w:r>
                </w:p>
              </w:tc>
            </w:tr>
            <w:tr w:rsidR="00A3639B" w:rsidRPr="00D94D48" w14:paraId="38AC252E" w14:textId="77777777" w:rsidTr="00A3639B">
              <w:trPr>
                <w:tblCellSpacing w:w="15" w:type="dxa"/>
              </w:trPr>
              <w:tc>
                <w:tcPr>
                  <w:tcW w:w="4802" w:type="dxa"/>
                  <w:tcBorders>
                    <w:top w:val="single" w:sz="6" w:space="0" w:color="auto"/>
                    <w:left w:val="single" w:sz="4" w:space="0" w:color="auto"/>
                    <w:bottom w:val="single" w:sz="6" w:space="0" w:color="auto"/>
                    <w:right w:val="single" w:sz="6" w:space="0" w:color="auto"/>
                  </w:tcBorders>
                  <w:vAlign w:val="center"/>
                  <w:hideMark/>
                </w:tcPr>
                <w:p w14:paraId="4E6DE1F1" w14:textId="77777777" w:rsidR="00D94D48" w:rsidRPr="00D94D48" w:rsidRDefault="00D94D48" w:rsidP="00A3639B">
                  <w:pPr>
                    <w:ind w:right="253"/>
                    <w:jc w:val="both"/>
                    <w:rPr>
                      <w:sz w:val="20"/>
                    </w:rPr>
                  </w:pPr>
                  <w:r w:rsidRPr="00D94D48">
                    <w:rPr>
                      <w:sz w:val="20"/>
                    </w:rPr>
                    <w:t>Araştırma, Geliştirme ve Toplumsal Katkı Sorumlusu</w:t>
                  </w:r>
                </w:p>
              </w:tc>
              <w:tc>
                <w:tcPr>
                  <w:tcW w:w="1861" w:type="dxa"/>
                  <w:gridSpan w:val="2"/>
                  <w:tcBorders>
                    <w:top w:val="single" w:sz="6" w:space="0" w:color="auto"/>
                    <w:left w:val="single" w:sz="6" w:space="0" w:color="auto"/>
                    <w:bottom w:val="single" w:sz="6" w:space="0" w:color="auto"/>
                    <w:right w:val="single" w:sz="6" w:space="0" w:color="auto"/>
                  </w:tcBorders>
                  <w:vAlign w:val="center"/>
                  <w:hideMark/>
                </w:tcPr>
                <w:p w14:paraId="6881A6D3" w14:textId="77777777" w:rsidR="00D94D48" w:rsidRPr="00D94D48" w:rsidRDefault="00D94D48" w:rsidP="00A3639B">
                  <w:pPr>
                    <w:ind w:right="395"/>
                    <w:jc w:val="both"/>
                    <w:rPr>
                      <w:sz w:val="20"/>
                    </w:rPr>
                  </w:pPr>
                  <w:r w:rsidRPr="00D94D48">
                    <w:rPr>
                      <w:sz w:val="20"/>
                    </w:rPr>
                    <w:t>Alp Polat</w:t>
                  </w:r>
                </w:p>
              </w:tc>
              <w:tc>
                <w:tcPr>
                  <w:tcW w:w="1914" w:type="dxa"/>
                  <w:tcBorders>
                    <w:top w:val="single" w:sz="6" w:space="0" w:color="auto"/>
                    <w:left w:val="single" w:sz="6" w:space="0" w:color="auto"/>
                    <w:bottom w:val="single" w:sz="6" w:space="0" w:color="auto"/>
                    <w:right w:val="single" w:sz="4" w:space="0" w:color="auto"/>
                  </w:tcBorders>
                  <w:vAlign w:val="center"/>
                  <w:hideMark/>
                </w:tcPr>
                <w:p w14:paraId="50E9E968" w14:textId="77777777" w:rsidR="00D94D48" w:rsidRPr="00D94D48" w:rsidRDefault="00D94D48" w:rsidP="00D94D48">
                  <w:pPr>
                    <w:jc w:val="both"/>
                    <w:rPr>
                      <w:sz w:val="20"/>
                    </w:rPr>
                  </w:pPr>
                  <w:r w:rsidRPr="00D94D48">
                    <w:rPr>
                      <w:sz w:val="20"/>
                    </w:rPr>
                    <w:t>Doç. Dr.</w:t>
                  </w:r>
                </w:p>
              </w:tc>
            </w:tr>
            <w:tr w:rsidR="00A3639B" w:rsidRPr="00D94D48" w14:paraId="25570A0E" w14:textId="77777777" w:rsidTr="00A3639B">
              <w:trPr>
                <w:tblCellSpacing w:w="15" w:type="dxa"/>
              </w:trPr>
              <w:tc>
                <w:tcPr>
                  <w:tcW w:w="4802" w:type="dxa"/>
                  <w:tcBorders>
                    <w:top w:val="single" w:sz="6" w:space="0" w:color="auto"/>
                    <w:left w:val="single" w:sz="4" w:space="0" w:color="auto"/>
                    <w:bottom w:val="single" w:sz="6" w:space="0" w:color="auto"/>
                    <w:right w:val="single" w:sz="6" w:space="0" w:color="auto"/>
                  </w:tcBorders>
                  <w:vAlign w:val="center"/>
                  <w:hideMark/>
                </w:tcPr>
                <w:p w14:paraId="3F1B2CDA" w14:textId="77777777" w:rsidR="00D94D48" w:rsidRPr="00D94D48" w:rsidRDefault="00D94D48" w:rsidP="00A3639B">
                  <w:pPr>
                    <w:ind w:right="253"/>
                    <w:jc w:val="both"/>
                    <w:rPr>
                      <w:sz w:val="20"/>
                    </w:rPr>
                  </w:pPr>
                  <w:r w:rsidRPr="00D94D48">
                    <w:rPr>
                      <w:sz w:val="20"/>
                    </w:rPr>
                    <w:t>Yönetim Sistemleri Sorumlusu</w:t>
                  </w:r>
                </w:p>
              </w:tc>
              <w:tc>
                <w:tcPr>
                  <w:tcW w:w="1861" w:type="dxa"/>
                  <w:gridSpan w:val="2"/>
                  <w:tcBorders>
                    <w:top w:val="single" w:sz="6" w:space="0" w:color="auto"/>
                    <w:left w:val="single" w:sz="6" w:space="0" w:color="auto"/>
                    <w:bottom w:val="single" w:sz="6" w:space="0" w:color="auto"/>
                    <w:right w:val="single" w:sz="6" w:space="0" w:color="auto"/>
                  </w:tcBorders>
                  <w:vAlign w:val="center"/>
                  <w:hideMark/>
                </w:tcPr>
                <w:p w14:paraId="10948A8E" w14:textId="77777777" w:rsidR="00D94D48" w:rsidRPr="00D94D48" w:rsidRDefault="00D94D48" w:rsidP="00A3639B">
                  <w:pPr>
                    <w:ind w:right="395"/>
                    <w:jc w:val="both"/>
                    <w:rPr>
                      <w:sz w:val="20"/>
                    </w:rPr>
                  </w:pPr>
                  <w:r w:rsidRPr="00D94D48">
                    <w:rPr>
                      <w:sz w:val="20"/>
                    </w:rPr>
                    <w:t>Cumhur Şahin</w:t>
                  </w:r>
                </w:p>
              </w:tc>
              <w:tc>
                <w:tcPr>
                  <w:tcW w:w="1914" w:type="dxa"/>
                  <w:tcBorders>
                    <w:top w:val="single" w:sz="6" w:space="0" w:color="auto"/>
                    <w:left w:val="single" w:sz="6" w:space="0" w:color="auto"/>
                    <w:bottom w:val="single" w:sz="6" w:space="0" w:color="auto"/>
                    <w:right w:val="single" w:sz="4" w:space="0" w:color="auto"/>
                  </w:tcBorders>
                  <w:vAlign w:val="center"/>
                  <w:hideMark/>
                </w:tcPr>
                <w:p w14:paraId="2D941785" w14:textId="77777777" w:rsidR="00D94D48" w:rsidRPr="00D94D48" w:rsidRDefault="00D94D48" w:rsidP="00D94D48">
                  <w:pPr>
                    <w:jc w:val="both"/>
                    <w:rPr>
                      <w:sz w:val="20"/>
                    </w:rPr>
                  </w:pPr>
                  <w:r w:rsidRPr="00D94D48">
                    <w:rPr>
                      <w:sz w:val="20"/>
                    </w:rPr>
                    <w:t>Doç. Dr.</w:t>
                  </w:r>
                </w:p>
              </w:tc>
            </w:tr>
            <w:tr w:rsidR="00A3639B" w:rsidRPr="00D94D48" w14:paraId="382345BE" w14:textId="77777777" w:rsidTr="00A3639B">
              <w:trPr>
                <w:tblCellSpacing w:w="15" w:type="dxa"/>
              </w:trPr>
              <w:tc>
                <w:tcPr>
                  <w:tcW w:w="4802" w:type="dxa"/>
                  <w:tcBorders>
                    <w:top w:val="single" w:sz="6" w:space="0" w:color="auto"/>
                    <w:left w:val="single" w:sz="4" w:space="0" w:color="auto"/>
                    <w:bottom w:val="single" w:sz="6" w:space="0" w:color="auto"/>
                    <w:right w:val="single" w:sz="6" w:space="0" w:color="auto"/>
                  </w:tcBorders>
                  <w:vAlign w:val="center"/>
                  <w:hideMark/>
                </w:tcPr>
                <w:p w14:paraId="17299288" w14:textId="77777777" w:rsidR="00D94D48" w:rsidRPr="00D94D48" w:rsidRDefault="00D94D48" w:rsidP="00A3639B">
                  <w:pPr>
                    <w:ind w:right="253"/>
                    <w:jc w:val="both"/>
                    <w:rPr>
                      <w:sz w:val="20"/>
                    </w:rPr>
                  </w:pPr>
                  <w:r w:rsidRPr="00D94D48">
                    <w:rPr>
                      <w:sz w:val="20"/>
                    </w:rPr>
                    <w:t>Stratejik Plan ve Performans Göstergeleri Sorumlusu</w:t>
                  </w:r>
                </w:p>
              </w:tc>
              <w:tc>
                <w:tcPr>
                  <w:tcW w:w="1861" w:type="dxa"/>
                  <w:gridSpan w:val="2"/>
                  <w:tcBorders>
                    <w:top w:val="single" w:sz="6" w:space="0" w:color="auto"/>
                    <w:left w:val="single" w:sz="6" w:space="0" w:color="auto"/>
                    <w:bottom w:val="single" w:sz="6" w:space="0" w:color="auto"/>
                    <w:right w:val="single" w:sz="6" w:space="0" w:color="auto"/>
                  </w:tcBorders>
                  <w:vAlign w:val="center"/>
                  <w:hideMark/>
                </w:tcPr>
                <w:p w14:paraId="30E71DE9" w14:textId="77777777" w:rsidR="00D94D48" w:rsidRPr="00D94D48" w:rsidRDefault="00D94D48" w:rsidP="00A3639B">
                  <w:pPr>
                    <w:ind w:right="395"/>
                    <w:jc w:val="both"/>
                    <w:rPr>
                      <w:sz w:val="20"/>
                    </w:rPr>
                  </w:pPr>
                  <w:r w:rsidRPr="00D94D48">
                    <w:rPr>
                      <w:sz w:val="20"/>
                    </w:rPr>
                    <w:t>Önder Gürsel</w:t>
                  </w:r>
                </w:p>
              </w:tc>
              <w:tc>
                <w:tcPr>
                  <w:tcW w:w="1914" w:type="dxa"/>
                  <w:tcBorders>
                    <w:top w:val="single" w:sz="6" w:space="0" w:color="auto"/>
                    <w:left w:val="single" w:sz="6" w:space="0" w:color="auto"/>
                    <w:bottom w:val="single" w:sz="6" w:space="0" w:color="auto"/>
                    <w:right w:val="single" w:sz="4" w:space="0" w:color="auto"/>
                  </w:tcBorders>
                  <w:vAlign w:val="center"/>
                  <w:hideMark/>
                </w:tcPr>
                <w:p w14:paraId="2D733775" w14:textId="77777777" w:rsidR="00D94D48" w:rsidRPr="00D94D48" w:rsidRDefault="00D94D48" w:rsidP="00D94D48">
                  <w:pPr>
                    <w:jc w:val="both"/>
                    <w:rPr>
                      <w:sz w:val="20"/>
                    </w:rPr>
                  </w:pPr>
                  <w:r w:rsidRPr="00D94D48">
                    <w:rPr>
                      <w:sz w:val="20"/>
                    </w:rPr>
                    <w:t>Dr. Öğr. Üyesi</w:t>
                  </w:r>
                </w:p>
              </w:tc>
            </w:tr>
            <w:tr w:rsidR="00A3639B" w:rsidRPr="00D94D48" w14:paraId="1ED8EA4F" w14:textId="77777777" w:rsidTr="00A3639B">
              <w:trPr>
                <w:tblCellSpacing w:w="15" w:type="dxa"/>
              </w:trPr>
              <w:tc>
                <w:tcPr>
                  <w:tcW w:w="4802" w:type="dxa"/>
                  <w:tcBorders>
                    <w:top w:val="single" w:sz="6" w:space="0" w:color="auto"/>
                    <w:left w:val="single" w:sz="4" w:space="0" w:color="auto"/>
                    <w:bottom w:val="single" w:sz="6" w:space="0" w:color="auto"/>
                    <w:right w:val="single" w:sz="6" w:space="0" w:color="auto"/>
                  </w:tcBorders>
                  <w:vAlign w:val="center"/>
                  <w:hideMark/>
                </w:tcPr>
                <w:p w14:paraId="3C375361" w14:textId="77777777" w:rsidR="00D94D48" w:rsidRPr="00D94D48" w:rsidRDefault="00D94D48" w:rsidP="00A3639B">
                  <w:pPr>
                    <w:ind w:right="253"/>
                    <w:jc w:val="both"/>
                    <w:rPr>
                      <w:sz w:val="20"/>
                    </w:rPr>
                  </w:pPr>
                  <w:r w:rsidRPr="00D94D48">
                    <w:rPr>
                      <w:sz w:val="20"/>
                    </w:rPr>
                    <w:t>Anket Hazırlama ve Değerlendirme Sorumlusu</w:t>
                  </w:r>
                </w:p>
              </w:tc>
              <w:tc>
                <w:tcPr>
                  <w:tcW w:w="1861" w:type="dxa"/>
                  <w:gridSpan w:val="2"/>
                  <w:tcBorders>
                    <w:top w:val="single" w:sz="6" w:space="0" w:color="auto"/>
                    <w:left w:val="single" w:sz="6" w:space="0" w:color="auto"/>
                    <w:bottom w:val="single" w:sz="6" w:space="0" w:color="auto"/>
                    <w:right w:val="single" w:sz="6" w:space="0" w:color="auto"/>
                  </w:tcBorders>
                  <w:vAlign w:val="center"/>
                  <w:hideMark/>
                </w:tcPr>
                <w:p w14:paraId="31868369" w14:textId="77777777" w:rsidR="00D94D48" w:rsidRPr="00D94D48" w:rsidRDefault="00D94D48" w:rsidP="00A3639B">
                  <w:pPr>
                    <w:ind w:right="395"/>
                    <w:jc w:val="both"/>
                    <w:rPr>
                      <w:sz w:val="20"/>
                    </w:rPr>
                  </w:pPr>
                  <w:r w:rsidRPr="00D94D48">
                    <w:rPr>
                      <w:sz w:val="20"/>
                    </w:rPr>
                    <w:t>Melih Ergen</w:t>
                  </w:r>
                </w:p>
              </w:tc>
              <w:tc>
                <w:tcPr>
                  <w:tcW w:w="1914" w:type="dxa"/>
                  <w:tcBorders>
                    <w:top w:val="single" w:sz="6" w:space="0" w:color="auto"/>
                    <w:left w:val="single" w:sz="6" w:space="0" w:color="auto"/>
                    <w:bottom w:val="single" w:sz="6" w:space="0" w:color="auto"/>
                    <w:right w:val="single" w:sz="4" w:space="0" w:color="auto"/>
                  </w:tcBorders>
                  <w:vAlign w:val="center"/>
                  <w:hideMark/>
                </w:tcPr>
                <w:p w14:paraId="106C1E73" w14:textId="77777777" w:rsidR="00D94D48" w:rsidRPr="00D94D48" w:rsidRDefault="00D94D48" w:rsidP="00D94D48">
                  <w:pPr>
                    <w:jc w:val="both"/>
                    <w:rPr>
                      <w:sz w:val="20"/>
                    </w:rPr>
                  </w:pPr>
                  <w:r w:rsidRPr="00D94D48">
                    <w:rPr>
                      <w:sz w:val="20"/>
                    </w:rPr>
                    <w:t>Öğr. Gör.</w:t>
                  </w:r>
                </w:p>
              </w:tc>
            </w:tr>
            <w:tr w:rsidR="00A3639B" w:rsidRPr="00D94D48" w14:paraId="34540D75" w14:textId="77777777" w:rsidTr="00A3639B">
              <w:trPr>
                <w:tblCellSpacing w:w="15" w:type="dxa"/>
              </w:trPr>
              <w:tc>
                <w:tcPr>
                  <w:tcW w:w="4802" w:type="dxa"/>
                  <w:tcBorders>
                    <w:top w:val="single" w:sz="6" w:space="0" w:color="auto"/>
                    <w:left w:val="single" w:sz="4" w:space="0" w:color="auto"/>
                    <w:bottom w:val="single" w:sz="4" w:space="0" w:color="auto"/>
                    <w:right w:val="single" w:sz="6" w:space="0" w:color="auto"/>
                  </w:tcBorders>
                  <w:vAlign w:val="center"/>
                  <w:hideMark/>
                </w:tcPr>
                <w:p w14:paraId="02A1ABF3" w14:textId="77777777" w:rsidR="00D94D48" w:rsidRPr="00D94D48" w:rsidRDefault="00D94D48" w:rsidP="00A3639B">
                  <w:pPr>
                    <w:ind w:right="253"/>
                    <w:jc w:val="both"/>
                    <w:rPr>
                      <w:sz w:val="20"/>
                    </w:rPr>
                  </w:pPr>
                  <w:r w:rsidRPr="00D94D48">
                    <w:rPr>
                      <w:sz w:val="20"/>
                    </w:rPr>
                    <w:t>Akademik Veri İzleme ve Değerlendirme Sorumlusu</w:t>
                  </w:r>
                </w:p>
              </w:tc>
              <w:tc>
                <w:tcPr>
                  <w:tcW w:w="1861" w:type="dxa"/>
                  <w:gridSpan w:val="2"/>
                  <w:tcBorders>
                    <w:top w:val="single" w:sz="6" w:space="0" w:color="auto"/>
                    <w:left w:val="single" w:sz="6" w:space="0" w:color="auto"/>
                    <w:bottom w:val="single" w:sz="4" w:space="0" w:color="auto"/>
                    <w:right w:val="single" w:sz="6" w:space="0" w:color="auto"/>
                  </w:tcBorders>
                  <w:vAlign w:val="center"/>
                  <w:hideMark/>
                </w:tcPr>
                <w:p w14:paraId="0F4E3530" w14:textId="77777777" w:rsidR="00D94D48" w:rsidRPr="00D94D48" w:rsidRDefault="00D94D48" w:rsidP="00A3639B">
                  <w:pPr>
                    <w:ind w:right="395"/>
                    <w:jc w:val="both"/>
                    <w:rPr>
                      <w:sz w:val="20"/>
                    </w:rPr>
                  </w:pPr>
                  <w:r w:rsidRPr="00D94D48">
                    <w:rPr>
                      <w:sz w:val="20"/>
                    </w:rPr>
                    <w:t>Ali Arıcı</w:t>
                  </w:r>
                </w:p>
              </w:tc>
              <w:tc>
                <w:tcPr>
                  <w:tcW w:w="1914" w:type="dxa"/>
                  <w:tcBorders>
                    <w:top w:val="single" w:sz="6" w:space="0" w:color="auto"/>
                    <w:left w:val="single" w:sz="6" w:space="0" w:color="auto"/>
                    <w:bottom w:val="single" w:sz="4" w:space="0" w:color="auto"/>
                    <w:right w:val="single" w:sz="4" w:space="0" w:color="auto"/>
                  </w:tcBorders>
                  <w:vAlign w:val="center"/>
                  <w:hideMark/>
                </w:tcPr>
                <w:p w14:paraId="465B36D9" w14:textId="77777777" w:rsidR="00D94D48" w:rsidRPr="00D94D48" w:rsidRDefault="00D94D48" w:rsidP="00D94D48">
                  <w:pPr>
                    <w:jc w:val="both"/>
                    <w:rPr>
                      <w:sz w:val="20"/>
                    </w:rPr>
                  </w:pPr>
                  <w:r w:rsidRPr="00D94D48">
                    <w:rPr>
                      <w:sz w:val="20"/>
                    </w:rPr>
                    <w:t>Doç. Dr.</w:t>
                  </w:r>
                </w:p>
              </w:tc>
            </w:tr>
          </w:tbl>
          <w:p w14:paraId="17950731" w14:textId="77777777" w:rsidR="00D94D48" w:rsidRPr="00D94D48" w:rsidRDefault="00D94D48" w:rsidP="00D94D48">
            <w:pPr>
              <w:jc w:val="both"/>
            </w:pPr>
          </w:p>
        </w:tc>
      </w:tr>
      <w:tr w:rsidR="00D94D48" w:rsidRPr="00D94D48" w14:paraId="3F0DBB48" w14:textId="77777777" w:rsidTr="00EA706D">
        <w:trPr>
          <w:tblCellSpacing w:w="15" w:type="dxa"/>
        </w:trPr>
        <w:tc>
          <w:tcPr>
            <w:tcW w:w="0" w:type="auto"/>
            <w:vAlign w:val="center"/>
            <w:hideMark/>
          </w:tcPr>
          <w:p w14:paraId="2DC1B861" w14:textId="77777777" w:rsidR="00A3639B" w:rsidRDefault="00A3639B" w:rsidP="00D94D48">
            <w:pPr>
              <w:jc w:val="both"/>
              <w:rPr>
                <w:b/>
                <w:bCs/>
              </w:rPr>
            </w:pPr>
          </w:p>
          <w:p w14:paraId="7BCB3DC5" w14:textId="77777777" w:rsidR="00CD3461" w:rsidRPr="00D94D48" w:rsidRDefault="00D94D48" w:rsidP="00E93854">
            <w:pPr>
              <w:ind w:left="759"/>
              <w:jc w:val="both"/>
            </w:pPr>
            <w:r w:rsidRPr="00D94D48">
              <w:rPr>
                <w:b/>
                <w:bCs/>
              </w:rPr>
              <w:t>Olgunluk Değeri 4 :</w:t>
            </w:r>
            <w:r w:rsidRPr="00D94D48">
              <w:t xml:space="preserve"> İç kalite güvencesi sistemi mekanizmaları izlenmekte ve ilgili paydaşlarla birlikte iyileştirilmektedir.</w:t>
            </w:r>
          </w:p>
        </w:tc>
      </w:tr>
    </w:tbl>
    <w:p w14:paraId="0CD697CB" w14:textId="77777777" w:rsidR="00D94D48" w:rsidRDefault="00D94D48" w:rsidP="007B33C9">
      <w:pPr>
        <w:jc w:val="both"/>
      </w:pPr>
    </w:p>
    <w:p w14:paraId="1F8A0A09" w14:textId="77777777" w:rsidR="00A3639B" w:rsidRDefault="00A3639B" w:rsidP="007B33C9">
      <w:pPr>
        <w:jc w:val="both"/>
      </w:pPr>
    </w:p>
    <w:p w14:paraId="0DAFB318" w14:textId="77777777" w:rsidR="0010207C" w:rsidRPr="0010207C" w:rsidRDefault="0010207C" w:rsidP="00E93854">
      <w:pPr>
        <w:ind w:left="709"/>
        <w:jc w:val="both"/>
        <w:rPr>
          <w:b/>
        </w:rPr>
      </w:pPr>
      <w:r w:rsidRPr="0010207C">
        <w:rPr>
          <w:b/>
        </w:rPr>
        <w:t>A.1.5. Kamuoyunu bilgilendirme ve hesap verebilirlik</w:t>
      </w:r>
    </w:p>
    <w:p w14:paraId="28765F8F" w14:textId="77777777" w:rsidR="0010207C" w:rsidRDefault="0010207C" w:rsidP="0010207C">
      <w:pPr>
        <w:jc w:val="both"/>
      </w:pPr>
    </w:p>
    <w:p w14:paraId="603CC17F" w14:textId="77777777" w:rsidR="0010207C" w:rsidRDefault="0010207C" w:rsidP="00E93854">
      <w:pPr>
        <w:ind w:left="426"/>
        <w:jc w:val="both"/>
      </w:pPr>
      <w:r>
        <w:t xml:space="preserve">İç ve dış paydaşlarımıza karşı sorumluluk ve şeffaf yönetim anlayışımız gereği, Yüksekokulumuz eğitim-öğretim, araştırma-geliştirme faaliyetlerinin güncel verileri, “Hakkımızda, Yönetim, Programlar, Öğrenci” ana sekmeleri ve bu sekmelere bağlı alt sekmeler hâlinde kurumsal web sitemiz üzerinden kamuoyu ile paylaşılmıştır </w:t>
      </w:r>
      <w:r w:rsidRPr="0010207C">
        <w:rPr>
          <w:color w:val="0000FF"/>
        </w:rPr>
        <w:t>(OD4)</w:t>
      </w:r>
      <w:r>
        <w:t>. Bu paylaşım ile iç ve dış paydaşlarımızın kurumumuza ait güncel bilgi ve verilere kolaylıkla ulaşımına imkân verilmektedir. Kamuoyuyla paylaşılan bilgilerin doğruluğu ve güncelliği; birimlerimiz/bölümlerimiz arasındaki yazışma ve bilgi dolaşımındaki entegrasyonu sağlayan EBYS (Elektronik Bilgi Yönetim Sistemi) sistemi üzerinden sağlanmaktadır.</w:t>
      </w:r>
    </w:p>
    <w:p w14:paraId="15D80918" w14:textId="77777777" w:rsidR="0010207C" w:rsidRDefault="0010207C" w:rsidP="0010207C">
      <w:pPr>
        <w:jc w:val="both"/>
      </w:pPr>
      <w:r>
        <w:t xml:space="preserve"> </w:t>
      </w:r>
    </w:p>
    <w:p w14:paraId="1BE19D09" w14:textId="77777777" w:rsidR="0010207C" w:rsidRDefault="0010207C" w:rsidP="00E93854">
      <w:pPr>
        <w:ind w:left="426"/>
        <w:jc w:val="both"/>
      </w:pPr>
      <w:r>
        <w:t xml:space="preserve">Bilgilerin güncelliği, doğruluğu ve güvenirliği bilginin kaynağından alınarak kamuoyu ile yazılı görsel basın yolu ve kurumsal sosyal medya üzerinden kamuoyu ile paylaşılarak sağlanmaktadır. (Yüksekokul resmi e-mail hesabı: </w:t>
      </w:r>
      <w:r w:rsidRPr="00EF5B68">
        <w:rPr>
          <w:color w:val="0000FF"/>
          <w:u w:val="single"/>
        </w:rPr>
        <w:t>bmyo@bilecik.edu.tr</w:t>
      </w:r>
      <w:r>
        <w:t>, Yüksekokul Resmi Instagram Hesabı: @bseubozuyukmyo).</w:t>
      </w:r>
      <w:r>
        <w:cr/>
      </w:r>
    </w:p>
    <w:p w14:paraId="39522867" w14:textId="77777777" w:rsidR="00A3639B" w:rsidRDefault="0010207C" w:rsidP="00E93854">
      <w:pPr>
        <w:ind w:left="709"/>
        <w:jc w:val="both"/>
      </w:pPr>
      <w:r w:rsidRPr="0010207C">
        <w:rPr>
          <w:b/>
        </w:rPr>
        <w:t>Olgunluk Değeri 4 :</w:t>
      </w:r>
      <w:r>
        <w:t xml:space="preserve"> Kurumun kamuoyunu bilgilendirme ve hesap verebilirlik mekanizmaları izlenmekte ve paydaş görüşleri doğrultusunda iyileştirilmektedir.</w:t>
      </w:r>
    </w:p>
    <w:p w14:paraId="1FE4D1DC" w14:textId="77777777" w:rsidR="0010207C" w:rsidRDefault="0010207C" w:rsidP="0010207C">
      <w:pPr>
        <w:jc w:val="both"/>
      </w:pPr>
    </w:p>
    <w:p w14:paraId="2853A19E" w14:textId="77777777" w:rsidR="0010207C" w:rsidRDefault="0010207C" w:rsidP="0010207C">
      <w:pPr>
        <w:jc w:val="both"/>
      </w:pPr>
    </w:p>
    <w:p w14:paraId="2B6BE2D2" w14:textId="77777777" w:rsidR="00D63387" w:rsidRDefault="00363BAD" w:rsidP="00E93854">
      <w:pPr>
        <w:ind w:left="426"/>
        <w:jc w:val="both"/>
        <w:rPr>
          <w:b/>
          <w:bCs/>
        </w:rPr>
      </w:pPr>
      <w:r w:rsidRPr="00363BAD">
        <w:rPr>
          <w:b/>
          <w:bCs/>
        </w:rPr>
        <w:t>A.3. Yönetim Sistemleri</w:t>
      </w:r>
    </w:p>
    <w:p w14:paraId="64E96382" w14:textId="77777777" w:rsidR="00363BAD" w:rsidRDefault="00363BAD" w:rsidP="0010207C">
      <w:pPr>
        <w:jc w:val="both"/>
        <w:rPr>
          <w:b/>
          <w:bCs/>
        </w:rPr>
      </w:pPr>
    </w:p>
    <w:p w14:paraId="689B6E88" w14:textId="77777777" w:rsidR="00363BAD" w:rsidRDefault="00363BAD" w:rsidP="00E93854">
      <w:pPr>
        <w:ind w:left="709"/>
        <w:jc w:val="both"/>
        <w:rPr>
          <w:b/>
          <w:bCs/>
        </w:rPr>
      </w:pPr>
      <w:r w:rsidRPr="00363BAD">
        <w:rPr>
          <w:b/>
          <w:bCs/>
        </w:rPr>
        <w:t>A.3.2. İnsan kaynakları yönetimi</w:t>
      </w:r>
    </w:p>
    <w:p w14:paraId="2DEC3E5C" w14:textId="77777777" w:rsidR="00363BAD" w:rsidRDefault="00363BAD" w:rsidP="0010207C">
      <w:pPr>
        <w:jc w:val="both"/>
        <w:rPr>
          <w:b/>
          <w:bCs/>
        </w:rPr>
      </w:pPr>
    </w:p>
    <w:p w14:paraId="5B2118ED" w14:textId="77777777" w:rsidR="00363BAD" w:rsidRPr="00363BAD" w:rsidRDefault="00363BAD" w:rsidP="00E93854">
      <w:pPr>
        <w:spacing w:before="100" w:beforeAutospacing="1" w:after="100" w:afterAutospacing="1"/>
        <w:ind w:left="426"/>
        <w:jc w:val="both"/>
        <w:rPr>
          <w:rFonts w:eastAsia="Times New Roman"/>
        </w:rPr>
      </w:pPr>
      <w:r w:rsidRPr="00363BAD">
        <w:rPr>
          <w:rFonts w:eastAsia="Times New Roman"/>
        </w:rPr>
        <w:lastRenderedPageBreak/>
        <w:t>Üniversitemiz idari ve akademik personel atamaları Yükseköğretim Kurumları Personeli Görevde Yükselme Yönetmeliği’ne göre yapılmaktadır </w:t>
      </w:r>
      <w:hyperlink r:id="rId7" w:history="1">
        <w:r w:rsidRPr="00363BAD">
          <w:rPr>
            <w:rFonts w:eastAsia="Times New Roman"/>
            <w:color w:val="0000FF"/>
            <w:u w:val="single"/>
          </w:rPr>
          <w:t>(OD3)</w:t>
        </w:r>
      </w:hyperlink>
      <w:r w:rsidR="00810739">
        <w:rPr>
          <w:rFonts w:eastAsia="Times New Roman"/>
        </w:rPr>
        <w:t xml:space="preserve">. Bu süreç üniversite Personel </w:t>
      </w:r>
      <w:r w:rsidRPr="00363BAD">
        <w:rPr>
          <w:rFonts w:eastAsia="Times New Roman"/>
        </w:rPr>
        <w:t>Daire Başkanlığı tarafından yürütülmekte olup birim olarak bu sürece üniversite tarafından belirlenmiş kurallara uyularak dâhil olunmaktadır.</w:t>
      </w:r>
    </w:p>
    <w:p w14:paraId="1FC61D35" w14:textId="77777777" w:rsidR="00363BAD" w:rsidRPr="00363BAD" w:rsidRDefault="00363BAD" w:rsidP="00E93854">
      <w:pPr>
        <w:spacing w:before="100" w:beforeAutospacing="1" w:after="100" w:afterAutospacing="1"/>
        <w:ind w:left="426"/>
        <w:jc w:val="both"/>
        <w:rPr>
          <w:rFonts w:eastAsia="Times New Roman"/>
        </w:rPr>
      </w:pPr>
      <w:r w:rsidRPr="00363BAD">
        <w:rPr>
          <w:rFonts w:eastAsia="Times New Roman"/>
        </w:rPr>
        <w:t>İşe alım süreçleri, birimlerin akademik ve idari kadro taleplerinin alınması ile başlamakta, ilgili kanunlar ve yönetmelikler çerçevesinde yürütülmektedir. İlan edilen kadrolara başvuranların, aranan yetkinliğe sahip olduğunu gösteren kriterler alım sürecinde Personel Daire Başkanlığının internet sayfasında duyurular başlığı altında şeffaf bir şekilde ilan edilmektedir.</w:t>
      </w:r>
    </w:p>
    <w:p w14:paraId="0E5B3D51" w14:textId="77777777" w:rsidR="00363BAD" w:rsidRDefault="00363BAD" w:rsidP="00E93854">
      <w:pPr>
        <w:spacing w:before="100" w:beforeAutospacing="1" w:after="100" w:afterAutospacing="1"/>
        <w:ind w:left="426"/>
        <w:jc w:val="both"/>
        <w:rPr>
          <w:rFonts w:eastAsia="Times New Roman"/>
        </w:rPr>
      </w:pPr>
      <w:r w:rsidRPr="00363BAD">
        <w:rPr>
          <w:rFonts w:eastAsia="Times New Roman"/>
        </w:rPr>
        <w:t>İdari personelin yeterliliklerinin, görevlere uyumunun sağlanması ve gelişimine yönelik hizmet içi eğitim uygulamaları Personel Daire Başkanlığınca düzenlenen eğitim programları ile sağlanmaktadır.</w:t>
      </w:r>
    </w:p>
    <w:p w14:paraId="5D4C15B4" w14:textId="77777777" w:rsidR="00696C2D" w:rsidRPr="00363BAD" w:rsidRDefault="00696C2D" w:rsidP="00CF2877">
      <w:pPr>
        <w:spacing w:before="100" w:beforeAutospacing="1" w:after="100" w:afterAutospacing="1"/>
        <w:ind w:left="709"/>
        <w:jc w:val="both"/>
        <w:rPr>
          <w:rFonts w:eastAsia="Times New Roman"/>
        </w:rPr>
      </w:pPr>
      <w:r>
        <w:rPr>
          <w:b/>
        </w:rPr>
        <w:t>Olgunluk Değeri 3</w:t>
      </w:r>
      <w:r w:rsidRPr="0010207C">
        <w:rPr>
          <w:b/>
        </w:rPr>
        <w:t xml:space="preserve"> :</w:t>
      </w:r>
      <w:r>
        <w:t xml:space="preserve"> </w:t>
      </w:r>
      <w:r w:rsidR="00BA4D1F">
        <w:rPr>
          <w:sz w:val="21"/>
          <w:szCs w:val="21"/>
        </w:rPr>
        <w:t>Kurumun genelinde insan kaynakları yönetimi doğrultusunda uygulamalar tanımlı süreçlere uygun bir biçimde yürütülmektedir.</w:t>
      </w:r>
    </w:p>
    <w:p w14:paraId="4AE98CF5" w14:textId="77777777" w:rsidR="00363BAD" w:rsidRDefault="00363BAD" w:rsidP="00363BAD">
      <w:pPr>
        <w:jc w:val="both"/>
      </w:pPr>
    </w:p>
    <w:p w14:paraId="7CD1626D" w14:textId="77777777" w:rsidR="00C005CC" w:rsidRDefault="00C005CC" w:rsidP="00CF2877">
      <w:pPr>
        <w:ind w:left="709"/>
        <w:jc w:val="both"/>
        <w:rPr>
          <w:b/>
          <w:bCs/>
        </w:rPr>
      </w:pPr>
      <w:r w:rsidRPr="00C005CC">
        <w:rPr>
          <w:b/>
          <w:bCs/>
        </w:rPr>
        <w:t>A.3.4. Süreç yönetimi</w:t>
      </w:r>
    </w:p>
    <w:p w14:paraId="07B9DE1F" w14:textId="77777777" w:rsidR="00C005CC" w:rsidRDefault="00C005CC" w:rsidP="00363BAD">
      <w:pPr>
        <w:jc w:val="both"/>
        <w:rPr>
          <w:b/>
          <w:bCs/>
        </w:rPr>
      </w:pPr>
    </w:p>
    <w:p w14:paraId="008AFBBF" w14:textId="77777777" w:rsidR="00A12758" w:rsidRDefault="00A12758" w:rsidP="00CF2877">
      <w:pPr>
        <w:ind w:left="426"/>
        <w:jc w:val="both"/>
      </w:pPr>
      <w:r>
        <w:t>Yüksekokulumuzda</w:t>
      </w:r>
      <w:r w:rsidR="00CF2877">
        <w:t xml:space="preserve"> süreç yönetiminin </w:t>
      </w:r>
      <w:r w:rsidR="00C005CC" w:rsidRPr="00C005CC">
        <w:t>gerektirdiği</w:t>
      </w:r>
      <w:r w:rsidR="00CF2877">
        <w:t xml:space="preserve"> </w:t>
      </w:r>
      <w:r w:rsidR="00C005CC" w:rsidRPr="00C005CC">
        <w:t>iş</w:t>
      </w:r>
      <w:r w:rsidR="00CF2877">
        <w:t xml:space="preserve"> </w:t>
      </w:r>
      <w:r w:rsidR="00C005CC" w:rsidRPr="00C005CC">
        <w:t>v</w:t>
      </w:r>
      <w:r>
        <w:t>e</w:t>
      </w:r>
      <w:r w:rsidR="00CF2877">
        <w:t xml:space="preserve"> </w:t>
      </w:r>
      <w:r>
        <w:t>işlemlerin</w:t>
      </w:r>
      <w:r w:rsidR="00CF2877">
        <w:t xml:space="preserve"> </w:t>
      </w:r>
      <w:r>
        <w:t xml:space="preserve">(akademik ve idari </w:t>
      </w:r>
      <w:r w:rsidR="00CF2877">
        <w:t xml:space="preserve">teşkilat şeması, </w:t>
      </w:r>
      <w:r w:rsidR="00C005CC" w:rsidRPr="00C005CC">
        <w:t>görev tanımları, iş akış şemaları) ilgili mevzuatlar çerçevesinde hangi yasal prosedürler gereğince yapıldığı bu raporun A.1.1. kısmında açıklanmış ve ilgili kanıtlar da sunulmuştur.</w:t>
      </w:r>
    </w:p>
    <w:p w14:paraId="6EE86F81" w14:textId="77777777" w:rsidR="00A12758" w:rsidRDefault="00A12758" w:rsidP="00C005CC">
      <w:pPr>
        <w:jc w:val="both"/>
      </w:pPr>
    </w:p>
    <w:p w14:paraId="660A8CA4" w14:textId="77777777" w:rsidR="00C005CC" w:rsidRPr="00C005CC" w:rsidRDefault="00C005CC" w:rsidP="00CF2877">
      <w:pPr>
        <w:ind w:left="426"/>
        <w:jc w:val="both"/>
      </w:pPr>
      <w:r w:rsidRPr="00C005CC">
        <w:t>Birim İç Kontrol Eylem Planı doğrultusunda BMYO bünyesinde bulunan bölümlerde kayıtlı öğrenciler için eğitim hizmetleri planlanmaktadır. Akademik Takvim doğrultusunda öğretim planlarında belirlenen çerçevede ders sunumları ilgili öğretim elemanları tarafından gerçekleştirilir. Akademik Takvim ilgili yılın müfredat programı Eğitim-Öğretim Sınav Yönetmeliği, Ders Kaydı YaptıranÖğrenciler ve Danışma</w:t>
      </w:r>
      <w:r w:rsidR="00A12758">
        <w:t>nListeleri, Ders Kaydı </w:t>
      </w:r>
      <w:r w:rsidR="00632439">
        <w:t>ile ilgili</w:t>
      </w:r>
      <w:r w:rsidR="00A12758">
        <w:t xml:space="preserve"> </w:t>
      </w:r>
      <w:r w:rsidRPr="00C005CC">
        <w:t xml:space="preserve">belgeler, Yarıyıl İçi Sınavı ve Yarıyıl İçi Sınav Programları, Danışman Raporları, Staj Evrakları, İş Yeri Uygulaması Evrakları, Yarıyıl Sonu Sınav Programı gibi faaliyetler eğitim hizmetlerine ilişkin süreçlerin tanımlanmasında kullanılmaktadır. Evrak ve süreçlere ilişkin her türlü bilgi paylaşımı BMYO web sayfasından yapılmaktadır </w:t>
      </w:r>
      <w:hyperlink r:id="rId8" w:history="1">
        <w:r w:rsidRPr="00C005CC">
          <w:rPr>
            <w:rStyle w:val="Hyperlink"/>
          </w:rPr>
          <w:t>(OD4)</w:t>
        </w:r>
      </w:hyperlink>
    </w:p>
    <w:p w14:paraId="3DC260CC" w14:textId="77777777" w:rsidR="00C005CC" w:rsidRDefault="00C005CC" w:rsidP="00363BAD">
      <w:pPr>
        <w:jc w:val="both"/>
      </w:pPr>
    </w:p>
    <w:p w14:paraId="65083731" w14:textId="77777777" w:rsidR="00544F87" w:rsidRDefault="00544F87" w:rsidP="003016D2">
      <w:pPr>
        <w:ind w:left="709"/>
        <w:jc w:val="both"/>
      </w:pPr>
      <w:r w:rsidRPr="00544F87">
        <w:rPr>
          <w:b/>
          <w:bCs/>
        </w:rPr>
        <w:t>Olgunluk Değeri 4 :</w:t>
      </w:r>
      <w:r w:rsidRPr="00544F87">
        <w:t xml:space="preserve"> Kurumda süreç yönetimi mekanizmaları izlenmekte ve ilgili paydaşlarla değerlendirilerek iyileştirilmektedir.</w:t>
      </w:r>
    </w:p>
    <w:p w14:paraId="073A3EC7" w14:textId="77777777" w:rsidR="00C005CC" w:rsidRDefault="00C005CC" w:rsidP="00363BAD">
      <w:pPr>
        <w:jc w:val="both"/>
      </w:pPr>
    </w:p>
    <w:p w14:paraId="608701F4" w14:textId="77777777" w:rsidR="00C005CC" w:rsidRDefault="00C005CC" w:rsidP="00CF2877">
      <w:pPr>
        <w:ind w:left="426"/>
        <w:jc w:val="both"/>
      </w:pPr>
    </w:p>
    <w:p w14:paraId="3662C72E" w14:textId="77777777" w:rsidR="00632439" w:rsidRDefault="00632439" w:rsidP="00CF2877">
      <w:pPr>
        <w:ind w:left="426"/>
        <w:jc w:val="both"/>
        <w:rPr>
          <w:b/>
          <w:bCs/>
        </w:rPr>
      </w:pPr>
      <w:r w:rsidRPr="00632439">
        <w:rPr>
          <w:b/>
          <w:bCs/>
        </w:rPr>
        <w:t>A.4. Paydaş Katılımı</w:t>
      </w:r>
    </w:p>
    <w:p w14:paraId="06800BE0" w14:textId="77777777" w:rsidR="00632439" w:rsidRDefault="00632439" w:rsidP="00363BAD">
      <w:pPr>
        <w:jc w:val="both"/>
        <w:rPr>
          <w:b/>
          <w:bCs/>
        </w:rPr>
      </w:pPr>
    </w:p>
    <w:p w14:paraId="795453E2" w14:textId="77777777" w:rsidR="00632439" w:rsidRDefault="00632439" w:rsidP="00C60DEF">
      <w:pPr>
        <w:ind w:left="709"/>
        <w:jc w:val="both"/>
        <w:rPr>
          <w:b/>
          <w:bCs/>
        </w:rPr>
      </w:pPr>
      <w:r w:rsidRPr="00632439">
        <w:rPr>
          <w:b/>
          <w:bCs/>
        </w:rPr>
        <w:t>A.4.1. İç ve dış paydaş katılımı</w:t>
      </w:r>
    </w:p>
    <w:p w14:paraId="3322F831" w14:textId="77777777" w:rsidR="00632439" w:rsidRDefault="00632439" w:rsidP="00363BAD">
      <w:pPr>
        <w:jc w:val="both"/>
        <w:rPr>
          <w:b/>
          <w:bCs/>
        </w:rPr>
      </w:pPr>
    </w:p>
    <w:p w14:paraId="5F9849A3" w14:textId="77777777" w:rsidR="00632439" w:rsidRPr="00632439" w:rsidRDefault="00632439" w:rsidP="00C60DEF">
      <w:pPr>
        <w:ind w:left="426"/>
        <w:jc w:val="both"/>
      </w:pPr>
      <w:r w:rsidRPr="00632439">
        <w:t>Birim olarak iç paydaşlarımız; birimimizde bulunan bölüm başkanlıkları, birimimizde görevli akademik personel, birimimizde görevli idari personel, birimimizde kayıtlı öğrencilerdir. Dış paydaşlarımız ise; İl ve İlçe Milli Eğitim Müdürlükleri, Bilecik Şeyh Edebali Üniversitesi Bünyesinde bulunan fakülte ve meslek yüksekokulları, Bozüyük Belediyesi, Bozüyük Sanayi ve Ticaret Odası, İl ve İlçe merkezinde bulunan kamu kurum ve kuruluşları, İl ve İlçe merkezinde bulunan sivil toplum kuruluşları.</w:t>
      </w:r>
      <w:r>
        <w:t xml:space="preserve"> Bunların </w:t>
      </w:r>
      <w:r w:rsidRPr="00632439">
        <w:t>haricin</w:t>
      </w:r>
      <w:r>
        <w:t xml:space="preserve">de öğrencilerimizin staj </w:t>
      </w:r>
      <w:r w:rsidRPr="00632439">
        <w:t>ve</w:t>
      </w:r>
      <w:r>
        <w:t xml:space="preserve"> işletmede mesleki eğitim dersi kapsamında gitmiş oldukları firmalar da </w:t>
      </w:r>
      <w:r w:rsidRPr="00632439">
        <w:t>dış paydaşlarımızdandır.</w:t>
      </w:r>
    </w:p>
    <w:p w14:paraId="704DEA3F" w14:textId="77777777" w:rsidR="00632439" w:rsidRPr="00632439" w:rsidRDefault="00632439" w:rsidP="00632439">
      <w:pPr>
        <w:jc w:val="both"/>
      </w:pPr>
    </w:p>
    <w:p w14:paraId="782072A3" w14:textId="77777777" w:rsidR="00632439" w:rsidRDefault="00632439" w:rsidP="00C60DEF">
      <w:pPr>
        <w:ind w:left="426"/>
        <w:jc w:val="both"/>
      </w:pPr>
      <w:r w:rsidRPr="00632439">
        <w:t>Bologna süreci ile birlikte iç ve dış paydaşlar ile yapılan görüşmeler ve anketler neticesinde ve birim akademik kurullarınca alınan kararlar sonucunda program tasarımları gerçekleşmektedir. Program çıktılarımızı değerlendirmek amacıyla iç paydaşlarımızdan hocalarımız ve öğrencilerimiz ile yıl içerisinde program yeterlilikleri değerlendirme anketleri yapılmıştır ve hazırlanan raporlar bölümlerin kalite dosyalarında saklanmaktadır [1_OD3]. Tüm bölümlerimiz için</w:t>
      </w:r>
      <w:r>
        <w:t xml:space="preserve"> diploma almaya </w:t>
      </w:r>
      <w:r w:rsidRPr="00632439">
        <w:t>gelen</w:t>
      </w:r>
      <w:r>
        <w:t xml:space="preserve"> mezun öğrencilerimize </w:t>
      </w:r>
      <w:r w:rsidRPr="00632439">
        <w:t>ve</w:t>
      </w:r>
      <w:r>
        <w:t xml:space="preserve"> dış paydaşlarımızdan </w:t>
      </w:r>
      <w:r w:rsidRPr="00632439">
        <w:t>olan öğrencilerimizin staj yaptığı firmalardaki iş yeri sorumluları tarafından doldurulmasını istediğimiz program çıktıları yeterlilik anketler</w:t>
      </w:r>
      <w:r>
        <w:t xml:space="preserve">i düzenli olarak yapılmaktadır. Toplanan anketler </w:t>
      </w:r>
      <w:r w:rsidRPr="00632439">
        <w:t>yıl sonunda bölümlere dağıtılmakta ve bölümler raporlayarak kalite dosyalarında saklamaktadırlar. Raporlardan çıkan sonuçlar çerçevesinde bölümler ders içeriklerinde gerekli iyileştirmeleri yapmakta, paydaş görüşlerini program tasarımında dikkate almaktadır.</w:t>
      </w:r>
    </w:p>
    <w:p w14:paraId="0FDACBE2" w14:textId="77777777" w:rsidR="00632439" w:rsidRPr="00632439" w:rsidRDefault="00632439" w:rsidP="00632439">
      <w:pPr>
        <w:jc w:val="both"/>
      </w:pPr>
    </w:p>
    <w:p w14:paraId="57CC4988" w14:textId="77777777" w:rsidR="00632439" w:rsidRPr="00632439" w:rsidRDefault="00632439" w:rsidP="003016D2">
      <w:pPr>
        <w:ind w:left="426"/>
        <w:jc w:val="both"/>
      </w:pPr>
      <w:r w:rsidRPr="00632439">
        <w:rPr>
          <w:b/>
          <w:bCs/>
        </w:rPr>
        <w:t>Kanıtlar</w:t>
      </w:r>
    </w:p>
    <w:p w14:paraId="532DDB98" w14:textId="77777777" w:rsidR="00632439" w:rsidRDefault="00632439" w:rsidP="003016D2">
      <w:pPr>
        <w:ind w:left="426"/>
        <w:jc w:val="both"/>
      </w:pPr>
      <w:r w:rsidRPr="00632439">
        <w:t>[1](3)A.4.1.muhasebe_dis_paydas_anketi</w:t>
      </w:r>
    </w:p>
    <w:p w14:paraId="214E335B" w14:textId="77777777" w:rsidR="007768CE" w:rsidRDefault="007768CE" w:rsidP="00632439">
      <w:pPr>
        <w:jc w:val="both"/>
      </w:pPr>
    </w:p>
    <w:p w14:paraId="5014FB6E" w14:textId="77777777" w:rsidR="007768CE" w:rsidRDefault="007768CE" w:rsidP="003016D2">
      <w:pPr>
        <w:ind w:left="709"/>
        <w:jc w:val="both"/>
        <w:rPr>
          <w:sz w:val="21"/>
          <w:szCs w:val="21"/>
        </w:rPr>
      </w:pPr>
      <w:r>
        <w:rPr>
          <w:b/>
          <w:bCs/>
          <w:sz w:val="21"/>
          <w:szCs w:val="21"/>
        </w:rPr>
        <w:t>Olgunluk Değeri 3 :</w:t>
      </w:r>
      <w:r>
        <w:rPr>
          <w:sz w:val="21"/>
          <w:szCs w:val="21"/>
        </w:rPr>
        <w:t xml:space="preserve"> Tüm süreçlerdeki PUKÖ katmanlarına paydaş katılımını sağlamak üzere Kurumun geneline yayılmış mekanizmalar bulunmaktadır.</w:t>
      </w:r>
    </w:p>
    <w:p w14:paraId="4FFE8ED7" w14:textId="77777777" w:rsidR="007768CE" w:rsidRDefault="007768CE" w:rsidP="00632439">
      <w:pPr>
        <w:jc w:val="both"/>
        <w:rPr>
          <w:sz w:val="21"/>
          <w:szCs w:val="21"/>
        </w:rPr>
      </w:pPr>
    </w:p>
    <w:p w14:paraId="73BAACD0" w14:textId="77777777" w:rsidR="007768CE" w:rsidRDefault="007768CE" w:rsidP="00632439">
      <w:pPr>
        <w:jc w:val="both"/>
        <w:rPr>
          <w:sz w:val="21"/>
          <w:szCs w:val="21"/>
        </w:rPr>
      </w:pPr>
    </w:p>
    <w:p w14:paraId="5B84982E" w14:textId="77777777" w:rsidR="007768CE" w:rsidRPr="00632439" w:rsidRDefault="007768CE" w:rsidP="00632439">
      <w:pPr>
        <w:jc w:val="both"/>
      </w:pPr>
    </w:p>
    <w:p w14:paraId="08CEF6DA" w14:textId="77777777" w:rsidR="00632439" w:rsidRDefault="00E81FD3" w:rsidP="003016D2">
      <w:pPr>
        <w:ind w:left="709"/>
        <w:jc w:val="both"/>
        <w:rPr>
          <w:b/>
          <w:bCs/>
        </w:rPr>
      </w:pPr>
      <w:r w:rsidRPr="00E81FD3">
        <w:rPr>
          <w:b/>
          <w:bCs/>
        </w:rPr>
        <w:t>A.4.2. Öğrenci geri bildirimleri</w:t>
      </w:r>
    </w:p>
    <w:p w14:paraId="06E0D062" w14:textId="77777777" w:rsidR="00E81FD3" w:rsidRDefault="00E81FD3" w:rsidP="00363BAD">
      <w:pPr>
        <w:jc w:val="both"/>
        <w:rPr>
          <w:b/>
          <w:bCs/>
        </w:rPr>
      </w:pPr>
    </w:p>
    <w:p w14:paraId="79A6E224" w14:textId="3E0B716C" w:rsidR="00E81FD3" w:rsidRPr="00E81FD3" w:rsidRDefault="00E81FD3" w:rsidP="003016D2">
      <w:pPr>
        <w:ind w:left="426"/>
        <w:jc w:val="both"/>
      </w:pPr>
      <w:r>
        <w:t xml:space="preserve">Akademik Veri İzleme ve Değerlendirme </w:t>
      </w:r>
      <w:r w:rsidRPr="00E81FD3">
        <w:t>Koordinatörlüğü</w:t>
      </w:r>
      <w:r>
        <w:t xml:space="preserve"> tarafından </w:t>
      </w:r>
      <w:r w:rsidRPr="00E81FD3">
        <w:t>düzenlenen</w:t>
      </w:r>
      <w:r>
        <w:t xml:space="preserve"> </w:t>
      </w:r>
      <w:r w:rsidRPr="00E81FD3">
        <w:t>anketler (Öğre</w:t>
      </w:r>
      <w:r>
        <w:t xml:space="preserve">nci memnuniyeti, öğretim elemanı değerlendirme </w:t>
      </w:r>
      <w:r w:rsidRPr="00E81FD3">
        <w:t xml:space="preserve">ve iş yükü anketleri) aracılığıyla toplanmaktadır. Birim olarak ilgili koordinatörlüğün yönlendirmeleriyle gönderilen verilerin raporlanmasına yardımcı olunmaktadır </w:t>
      </w:r>
      <w:hyperlink r:id="rId9" w:history="1">
        <w:r w:rsidRPr="00E81FD3">
          <w:rPr>
            <w:rStyle w:val="Hyperlink"/>
          </w:rPr>
          <w:t>(OD3)</w:t>
        </w:r>
      </w:hyperlink>
      <w:r w:rsidRPr="00E81FD3">
        <w:t xml:space="preserve"> [2_OD3]. Ayrıca öğrencilerin geri bildirimleri Öğrenci Bilgi Sistemi mesaj modülü ve/veya akademik personel kişisel e-posta hesapları aracılığıyla toplanabilmektedir.</w:t>
      </w:r>
    </w:p>
    <w:p w14:paraId="123E752B" w14:textId="77777777" w:rsidR="00E81FD3" w:rsidRPr="00E81FD3" w:rsidRDefault="00E81FD3" w:rsidP="00E81FD3">
      <w:pPr>
        <w:jc w:val="both"/>
      </w:pPr>
      <w:r w:rsidRPr="00E81FD3">
        <w:t> </w:t>
      </w:r>
    </w:p>
    <w:p w14:paraId="0121B04B" w14:textId="77777777" w:rsidR="00E81FD3" w:rsidRPr="00E81FD3" w:rsidRDefault="00E81FD3" w:rsidP="003016D2">
      <w:pPr>
        <w:ind w:left="426"/>
        <w:jc w:val="both"/>
      </w:pPr>
      <w:r w:rsidRPr="00E81FD3">
        <w:rPr>
          <w:b/>
          <w:bCs/>
        </w:rPr>
        <w:t>Kanıtlar</w:t>
      </w:r>
    </w:p>
    <w:p w14:paraId="0474CD2B" w14:textId="77777777" w:rsidR="00E81FD3" w:rsidRPr="00E81FD3" w:rsidRDefault="00E81FD3" w:rsidP="003016D2">
      <w:pPr>
        <w:ind w:left="426"/>
        <w:jc w:val="both"/>
      </w:pPr>
      <w:r w:rsidRPr="00E81FD3">
        <w:t>[2](3)A.4.2.anket_sonuclari</w:t>
      </w:r>
    </w:p>
    <w:p w14:paraId="0FEFACA3" w14:textId="77777777" w:rsidR="00E81FD3" w:rsidRDefault="00E81FD3" w:rsidP="00363BAD">
      <w:pPr>
        <w:jc w:val="both"/>
      </w:pPr>
    </w:p>
    <w:p w14:paraId="78BEA929" w14:textId="77777777" w:rsidR="00E81FD3" w:rsidRDefault="00E81FD3" w:rsidP="003016D2">
      <w:pPr>
        <w:ind w:left="709"/>
        <w:jc w:val="both"/>
      </w:pPr>
      <w:r w:rsidRPr="00E81FD3">
        <w:rPr>
          <w:b/>
          <w:bCs/>
        </w:rPr>
        <w:t>Olgunluk Değeri 3 :</w:t>
      </w:r>
      <w:r w:rsidRPr="00E81FD3">
        <w:t xml:space="preserve"> Programların genelinde öğrenci geri bildirimleri (her yarıyıl ya da her akademik yıl sonunda) alınmaktadır.</w:t>
      </w:r>
    </w:p>
    <w:p w14:paraId="456C7074" w14:textId="77777777" w:rsidR="00E81FD3" w:rsidRDefault="00E81FD3" w:rsidP="00363BAD">
      <w:pPr>
        <w:jc w:val="both"/>
      </w:pPr>
    </w:p>
    <w:p w14:paraId="6C22E708" w14:textId="77777777" w:rsidR="00E81FD3" w:rsidRPr="00FF0EED" w:rsidRDefault="00E81FD3" w:rsidP="00363BAD">
      <w:pPr>
        <w:jc w:val="both"/>
        <w:rPr>
          <w:b/>
        </w:rPr>
      </w:pPr>
    </w:p>
    <w:p w14:paraId="12061665" w14:textId="77777777" w:rsidR="00E81FD3" w:rsidRPr="00FF0EED" w:rsidRDefault="00E81FD3" w:rsidP="00363BAD">
      <w:pPr>
        <w:jc w:val="both"/>
        <w:rPr>
          <w:b/>
        </w:rPr>
      </w:pPr>
    </w:p>
    <w:p w14:paraId="0E95D72B" w14:textId="77777777" w:rsidR="00FF0EED" w:rsidRDefault="00FF0EED" w:rsidP="00363BAD">
      <w:pPr>
        <w:jc w:val="both"/>
        <w:rPr>
          <w:b/>
        </w:rPr>
      </w:pPr>
      <w:r w:rsidRPr="00FF0EED">
        <w:rPr>
          <w:b/>
        </w:rPr>
        <w:t xml:space="preserve">B. EĞİTİM </w:t>
      </w:r>
      <w:r>
        <w:rPr>
          <w:b/>
        </w:rPr>
        <w:t>–</w:t>
      </w:r>
      <w:r w:rsidRPr="00FF0EED">
        <w:rPr>
          <w:b/>
        </w:rPr>
        <w:t xml:space="preserve"> ÖĞRETİM</w:t>
      </w:r>
    </w:p>
    <w:p w14:paraId="256C421F" w14:textId="77777777" w:rsidR="00FF0EED" w:rsidRDefault="00FF0EED" w:rsidP="00363BAD">
      <w:pPr>
        <w:jc w:val="both"/>
        <w:rPr>
          <w:b/>
        </w:rPr>
      </w:pPr>
    </w:p>
    <w:p w14:paraId="45316D43" w14:textId="77777777" w:rsidR="00FF0EED" w:rsidRDefault="00FF0EED" w:rsidP="00C60DEF">
      <w:pPr>
        <w:ind w:left="426"/>
        <w:jc w:val="both"/>
        <w:rPr>
          <w:b/>
          <w:bCs/>
        </w:rPr>
      </w:pPr>
      <w:r w:rsidRPr="00FF0EED">
        <w:rPr>
          <w:b/>
          <w:bCs/>
        </w:rPr>
        <w:t>B.1. Program Tasarımı, Değerlendirmesi ve Güncellenmesi</w:t>
      </w:r>
    </w:p>
    <w:p w14:paraId="1439808E" w14:textId="77777777" w:rsidR="00FF0EED" w:rsidRDefault="00FF0EED" w:rsidP="00363BAD">
      <w:pPr>
        <w:jc w:val="both"/>
        <w:rPr>
          <w:b/>
          <w:bCs/>
        </w:rPr>
      </w:pPr>
    </w:p>
    <w:p w14:paraId="7D05798F" w14:textId="77777777" w:rsidR="00FF0EED" w:rsidRDefault="00FF0EED" w:rsidP="00C60DEF">
      <w:pPr>
        <w:ind w:left="709"/>
        <w:jc w:val="both"/>
        <w:rPr>
          <w:b/>
          <w:bCs/>
        </w:rPr>
      </w:pPr>
      <w:r w:rsidRPr="00FF0EED">
        <w:rPr>
          <w:b/>
          <w:bCs/>
        </w:rPr>
        <w:t>B.1.1. Programların tasarımı ve onayı</w:t>
      </w:r>
    </w:p>
    <w:p w14:paraId="56156912" w14:textId="77777777" w:rsidR="00FF0EED" w:rsidRDefault="00FF0EED" w:rsidP="00363BAD">
      <w:pPr>
        <w:jc w:val="both"/>
        <w:rPr>
          <w:b/>
          <w:bCs/>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160"/>
      </w:tblGrid>
      <w:tr w:rsidR="001C0348" w14:paraId="744E9853" w14:textId="77777777" w:rsidTr="00EA706D">
        <w:trPr>
          <w:tblCellSpacing w:w="15" w:type="dxa"/>
        </w:trPr>
        <w:tc>
          <w:tcPr>
            <w:tcW w:w="0" w:type="auto"/>
            <w:vAlign w:val="center"/>
            <w:hideMark/>
          </w:tcPr>
          <w:p w14:paraId="0E6CB6C7" w14:textId="77777777" w:rsidR="001C0348" w:rsidRDefault="001C0348" w:rsidP="001C0348">
            <w:pPr>
              <w:pStyle w:val="NormalWeb"/>
              <w:jc w:val="both"/>
            </w:pPr>
            <w:r>
              <w:t>Yüksekokulumuzda bölüm/program açılması teklifleri ilgili akademik birimlerce, çağın gerekleri, ulusal ve uluslararası yeterlilikler, kalkınma planları çerçevesinde, bölgesel ihtiyaç ve gereklilikler gereğince değerlendirilir. YÖK tarafından belirlenen başvuru formatına (gerekçe, yurt içi ve yurt dışı örnekler, dersler ve içerikleri, personel yeterliliği, fiziki altyapı ve benzerine ilişkin bilgileri) uygun bir standart başvuru dosyası hazırlanır, başvuru dosyası ilgili akademik birimin yönetim kurulunda görüşülüp üst yazı ile bildirilir. İlgili talep üniversite eğitim komisyonunda incelendikten sonra, senatonun onayına sunulur ve dosya YÖK’e gönderilir ve başvurunun neticesi beklenir.</w:t>
            </w:r>
          </w:p>
          <w:p w14:paraId="7BAC9E98" w14:textId="77777777" w:rsidR="001C0348" w:rsidRDefault="001C0348" w:rsidP="00CF2877">
            <w:pPr>
              <w:pStyle w:val="NormalWeb"/>
            </w:pPr>
            <w:r>
              <w:lastRenderedPageBreak/>
              <w:t xml:space="preserve"> Programların eğitim amaçlarına ve öğrenme çıktılarına ilişkin yapılan en önemli uygulama, Bologna Süreci kapsamında yapılan değerlendirmelerdir. Bologna Süreci kapsamında, her dersin amaçları ve öğrenme çıktılarına ilişkin bilgiler Eğitim Bilgi Sistemi web sayfasında bulunmaktadır </w:t>
            </w:r>
            <w:hyperlink r:id="rId10" w:history="1">
              <w:r>
                <w:rPr>
                  <w:rStyle w:val="Hyperlink"/>
                </w:rPr>
                <w:t>(OD4)</w:t>
              </w:r>
            </w:hyperlink>
            <w:r>
              <w:t>.</w:t>
            </w:r>
          </w:p>
          <w:p w14:paraId="284D372A" w14:textId="77777777" w:rsidR="001C0348" w:rsidRDefault="001C0348" w:rsidP="001C0348">
            <w:pPr>
              <w:pStyle w:val="NormalWeb"/>
            </w:pPr>
            <w:r>
              <w:t>Ayrıca üniversitemiz Kalite Koordinatörlüğü, Anket Hazırlama ve Değerlendirme Çalışma Grubu tarafından OBS üzerinden öğrencilere anketler düzenlemekte olup derslerin iş yükü temelli kredilerinin belirlenmesi çalışması merkezi olarak yapılmaktadır (</w:t>
            </w:r>
            <w:hyperlink r:id="rId11" w:history="1">
              <w:r>
                <w:rPr>
                  <w:rStyle w:val="Hyperlink"/>
                </w:rPr>
                <w:t>OD4</w:t>
              </w:r>
            </w:hyperlink>
            <w:r>
              <w:t>). Koordinatörlükten gelecek olan raporlar doğrultusunda iş yükü kredileri güncellenmektedir.</w:t>
            </w:r>
          </w:p>
          <w:p w14:paraId="354A092B" w14:textId="77777777" w:rsidR="001C0348" w:rsidRDefault="001C0348" w:rsidP="001C0348">
            <w:pPr>
              <w:pStyle w:val="NormalWeb"/>
            </w:pPr>
            <w:r>
              <w:t xml:space="preserve">Ders programları bölümler tarafından hazırlanıp web sayfalarında duyurulmaktadır </w:t>
            </w:r>
            <w:hyperlink r:id="rId12" w:history="1">
              <w:r>
                <w:rPr>
                  <w:rStyle w:val="Hyperlink"/>
                </w:rPr>
                <w:t>(OD4)</w:t>
              </w:r>
            </w:hyperlink>
            <w:r>
              <w:t>.</w:t>
            </w:r>
          </w:p>
        </w:tc>
      </w:tr>
      <w:tr w:rsidR="001C0348" w14:paraId="309678D2" w14:textId="77777777" w:rsidTr="00EA706D">
        <w:trPr>
          <w:tblCellSpacing w:w="15" w:type="dxa"/>
        </w:trPr>
        <w:tc>
          <w:tcPr>
            <w:tcW w:w="0" w:type="auto"/>
            <w:vAlign w:val="center"/>
            <w:hideMark/>
          </w:tcPr>
          <w:p w14:paraId="0636A2F7" w14:textId="77777777" w:rsidR="001C0348" w:rsidRDefault="001C0348" w:rsidP="00EA706D">
            <w:pPr>
              <w:pStyle w:val="NormalWeb"/>
              <w:ind w:left="375"/>
              <w:rPr>
                <w:b/>
                <w:bCs/>
                <w:sz w:val="21"/>
                <w:szCs w:val="21"/>
              </w:rPr>
            </w:pPr>
          </w:p>
          <w:p w14:paraId="7916861D" w14:textId="77777777" w:rsidR="001C0348" w:rsidRDefault="001C0348" w:rsidP="001D7629">
            <w:pPr>
              <w:pStyle w:val="NormalWeb"/>
              <w:ind w:left="375"/>
              <w:jc w:val="both"/>
              <w:rPr>
                <w:sz w:val="21"/>
                <w:szCs w:val="21"/>
              </w:rPr>
            </w:pPr>
            <w:r>
              <w:rPr>
                <w:b/>
                <w:bCs/>
                <w:sz w:val="21"/>
                <w:szCs w:val="21"/>
              </w:rPr>
              <w:t>Olgunluk Değeri 4 :</w:t>
            </w:r>
            <w:r>
              <w:rPr>
                <w:sz w:val="21"/>
                <w:szCs w:val="21"/>
              </w:rPr>
              <w:t xml:space="preserve"> Programların tasarım ve onay süreçleri sistematik olarak izlenmekte ve ilgili paydaşlarla birlikte değerlendirilerek iyileştirilmektedir. </w:t>
            </w:r>
          </w:p>
          <w:p w14:paraId="70240310" w14:textId="77777777" w:rsidR="001C0348" w:rsidRDefault="001C0348" w:rsidP="001C0348">
            <w:pPr>
              <w:pStyle w:val="NormalWeb"/>
              <w:rPr>
                <w:sz w:val="21"/>
                <w:szCs w:val="21"/>
              </w:rPr>
            </w:pPr>
          </w:p>
        </w:tc>
      </w:tr>
    </w:tbl>
    <w:p w14:paraId="17A5DB72" w14:textId="77777777" w:rsidR="00FF0EED" w:rsidRDefault="00EF1309" w:rsidP="00EF1309">
      <w:pPr>
        <w:ind w:left="709"/>
        <w:jc w:val="both"/>
        <w:rPr>
          <w:b/>
          <w:bCs/>
        </w:rPr>
      </w:pPr>
      <w:r w:rsidRPr="00EF1309">
        <w:rPr>
          <w:b/>
          <w:bCs/>
        </w:rPr>
        <w:t>B.1.2. Programın ders dağılım dengesi</w:t>
      </w:r>
    </w:p>
    <w:p w14:paraId="50E05F02" w14:textId="77777777" w:rsidR="00EF1309" w:rsidRDefault="00EF1309" w:rsidP="00363BAD">
      <w:pPr>
        <w:jc w:val="both"/>
        <w:rPr>
          <w:b/>
          <w:bCs/>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160"/>
      </w:tblGrid>
      <w:tr w:rsidR="00EF1309" w14:paraId="0847EACF" w14:textId="77777777" w:rsidTr="00EA706D">
        <w:trPr>
          <w:tblCellSpacing w:w="15" w:type="dxa"/>
        </w:trPr>
        <w:tc>
          <w:tcPr>
            <w:tcW w:w="0" w:type="auto"/>
            <w:vAlign w:val="center"/>
            <w:hideMark/>
          </w:tcPr>
          <w:p w14:paraId="4AA9AB37" w14:textId="77777777" w:rsidR="00EF1309" w:rsidRDefault="00EF1309" w:rsidP="00EF1309">
            <w:pPr>
              <w:pStyle w:val="NormalWeb"/>
              <w:jc w:val="both"/>
            </w:pPr>
            <w:r>
              <w:t xml:space="preserve">Yüksekokulumuzda birimlerimizin programları “Ön Lisans Öğretim Programları” </w:t>
            </w:r>
            <w:hyperlink r:id="rId13" w:history="1">
              <w:r>
                <w:rPr>
                  <w:rStyle w:val="Hyperlink"/>
                </w:rPr>
                <w:t>(OD4)</w:t>
              </w:r>
            </w:hyperlink>
            <w:r>
              <w:t xml:space="preserve"> vasıtasıyla Yüksekokulumuz resmî internet sitemiz üzerinden iç ve dış paydaşlar ile paylaşılmaktadır.</w:t>
            </w:r>
          </w:p>
          <w:p w14:paraId="6A1A2E80" w14:textId="77777777" w:rsidR="00EF1309" w:rsidRDefault="00EF1309" w:rsidP="00EF1309">
            <w:pPr>
              <w:pStyle w:val="NormalWeb"/>
              <w:jc w:val="both"/>
            </w:pPr>
            <w:r>
              <w:t>Derslerin planlanması sırasında dersler zorunlu ve seçmeli olmak üzere ikiye ayrılmıştır. Ders planlarında mesleki/teknik seçmeli dersler ile alan dışı seçmeli, sosyal seçmeli veya teknik olmayan seçmeli derslerin AKTS toplamı, toplam AKTS’nin en az %25’ i kadardır.</w:t>
            </w:r>
          </w:p>
          <w:p w14:paraId="0976D652" w14:textId="77777777" w:rsidR="00EF1309" w:rsidRDefault="00EF1309" w:rsidP="00EF1309">
            <w:pPr>
              <w:pStyle w:val="NormalWeb"/>
              <w:jc w:val="both"/>
            </w:pPr>
            <w:r>
              <w:t>Ders programlarının hazırlanması sürecini bölümler yürütmektedir. Bölüm başkanları bölüm kurullarını toplayarak, onların görüşleri dahilinde hangi derslerin açılacağına ve açılan derslerin hangi hoca tarafından yürütüleceğine karar verirler. Hazırlanan taslak programlar bölüm başkanlarının tümünün bir araya geldiği bir toplantıda nihai haline getirilir [2_OD4]. Daha sonra netleşen ders programı sisteme girilmekte ve öğrencilerimiz öğrenci bilgi sisteminden ders programlarını görebilmektedir.</w:t>
            </w:r>
          </w:p>
          <w:p w14:paraId="2F08B7E5" w14:textId="77777777" w:rsidR="00EF1309" w:rsidRDefault="00EF1309" w:rsidP="00EF1309">
            <w:pPr>
              <w:pStyle w:val="NormalWeb"/>
              <w:rPr>
                <w:rStyle w:val="Strong"/>
              </w:rPr>
            </w:pPr>
            <w:r>
              <w:t> </w:t>
            </w:r>
            <w:r>
              <w:rPr>
                <w:rStyle w:val="Strong"/>
              </w:rPr>
              <w:t>Kanıtlar</w:t>
            </w:r>
          </w:p>
          <w:p w14:paraId="7C839731" w14:textId="77777777" w:rsidR="00EF1309" w:rsidRDefault="00EF1309" w:rsidP="00EF1309">
            <w:pPr>
              <w:pStyle w:val="NormalWeb"/>
            </w:pPr>
            <w:r>
              <w:t>[2](4)B.1.2.ders_programi_hazirlik_yazisi</w:t>
            </w:r>
          </w:p>
          <w:p w14:paraId="5F4C2C2F" w14:textId="77777777" w:rsidR="00EF1309" w:rsidRDefault="00EF1309" w:rsidP="00EF1309">
            <w:pPr>
              <w:pStyle w:val="NormalWeb"/>
            </w:pPr>
          </w:p>
        </w:tc>
      </w:tr>
      <w:tr w:rsidR="00EF1309" w14:paraId="2435802C" w14:textId="77777777" w:rsidTr="00EA706D">
        <w:trPr>
          <w:tblCellSpacing w:w="15" w:type="dxa"/>
        </w:trPr>
        <w:tc>
          <w:tcPr>
            <w:tcW w:w="0" w:type="auto"/>
            <w:vAlign w:val="center"/>
            <w:hideMark/>
          </w:tcPr>
          <w:p w14:paraId="4A07B19C" w14:textId="77777777" w:rsidR="00EF1309" w:rsidRDefault="00EF1309" w:rsidP="00EA706D">
            <w:pPr>
              <w:pStyle w:val="NormalWeb"/>
              <w:ind w:left="375"/>
              <w:rPr>
                <w:sz w:val="21"/>
                <w:szCs w:val="21"/>
              </w:rPr>
            </w:pPr>
            <w:r>
              <w:rPr>
                <w:b/>
                <w:bCs/>
                <w:sz w:val="21"/>
                <w:szCs w:val="21"/>
              </w:rPr>
              <w:t>Olgunluk Değeri 4 :</w:t>
            </w:r>
            <w:r>
              <w:rPr>
                <w:sz w:val="21"/>
                <w:szCs w:val="21"/>
              </w:rPr>
              <w:t xml:space="preserve"> Programlarda ders dağılım dengesi izlenmekte ve iyileştirilmektedir. </w:t>
            </w:r>
          </w:p>
        </w:tc>
      </w:tr>
    </w:tbl>
    <w:p w14:paraId="3382CAF0" w14:textId="77777777" w:rsidR="00EF1309" w:rsidRDefault="00EF1309" w:rsidP="00EF1309">
      <w:pPr>
        <w:ind w:left="426"/>
        <w:jc w:val="both"/>
        <w:rPr>
          <w:b/>
        </w:rPr>
      </w:pPr>
    </w:p>
    <w:p w14:paraId="3BB02072" w14:textId="77777777" w:rsidR="001D7629" w:rsidRDefault="001D7629" w:rsidP="00EF1309">
      <w:pPr>
        <w:ind w:left="426"/>
        <w:jc w:val="both"/>
        <w:rPr>
          <w:b/>
        </w:rPr>
      </w:pPr>
    </w:p>
    <w:p w14:paraId="6ED98549" w14:textId="77777777" w:rsidR="00EF1309" w:rsidRDefault="001D7629" w:rsidP="001D7629">
      <w:pPr>
        <w:ind w:left="709"/>
        <w:jc w:val="both"/>
        <w:rPr>
          <w:b/>
          <w:bCs/>
        </w:rPr>
      </w:pPr>
      <w:r w:rsidRPr="001D7629">
        <w:rPr>
          <w:b/>
          <w:bCs/>
        </w:rPr>
        <w:t>B.1.3. Ders kazanımlarının program çıktılarıyla uyumu</w:t>
      </w:r>
    </w:p>
    <w:p w14:paraId="29DB337D" w14:textId="77777777" w:rsidR="001D7629" w:rsidRDefault="001D7629" w:rsidP="00EF1309">
      <w:pPr>
        <w:ind w:left="426"/>
        <w:jc w:val="both"/>
        <w:rPr>
          <w:b/>
          <w:bCs/>
        </w:rPr>
      </w:pPr>
    </w:p>
    <w:tbl>
      <w:tblPr>
        <w:tblW w:w="5000" w:type="pct"/>
        <w:tblCellSpacing w:w="15" w:type="dxa"/>
        <w:tblInd w:w="375" w:type="dxa"/>
        <w:tblCellMar>
          <w:top w:w="15" w:type="dxa"/>
          <w:left w:w="15" w:type="dxa"/>
          <w:bottom w:w="15" w:type="dxa"/>
          <w:right w:w="15" w:type="dxa"/>
        </w:tblCellMar>
        <w:tblLook w:val="04A0" w:firstRow="1" w:lastRow="0" w:firstColumn="1" w:lastColumn="0" w:noHBand="0" w:noVBand="1"/>
      </w:tblPr>
      <w:tblGrid>
        <w:gridCol w:w="9160"/>
      </w:tblGrid>
      <w:tr w:rsidR="001D7629" w14:paraId="604804C5" w14:textId="77777777" w:rsidTr="00EA706D">
        <w:trPr>
          <w:tblCellSpacing w:w="15" w:type="dxa"/>
        </w:trPr>
        <w:tc>
          <w:tcPr>
            <w:tcW w:w="0" w:type="auto"/>
            <w:vAlign w:val="center"/>
            <w:hideMark/>
          </w:tcPr>
          <w:p w14:paraId="59530086" w14:textId="309E63C6" w:rsidR="001D7629" w:rsidRDefault="001D7629" w:rsidP="001D7629">
            <w:pPr>
              <w:pStyle w:val="NormalWeb"/>
              <w:jc w:val="both"/>
            </w:pPr>
            <w:r>
              <w:t xml:space="preserve">Bölümlerimiz, YÖK tarafından belirlenen “Ulusal Yeterlilikler Çerçevesi ve Alana Özgü Yeterlilikler” dikkate alınarak, program yeterlikleri belirlemektedir. Programların yeterlilikleri belirlenirken ayrıca Türkiye Yükseköğretim Yeterlilikler Çerçevesi (TYYÇ) göz önünde bulundurulmaktadır </w:t>
            </w:r>
            <w:hyperlink r:id="rId14" w:history="1">
              <w:r>
                <w:rPr>
                  <w:rStyle w:val="Hyperlink"/>
                </w:rPr>
                <w:t>(OD4)</w:t>
              </w:r>
            </w:hyperlink>
            <w:r>
              <w:t xml:space="preserve">. Programların yeterlilikleriyle ders öğrenme çıktıları arasında ilişkilendirme de bölümlerimiz tarafından yapılmakta, Bilecik Şeyh Edebali Üniversitesi Eğitim Bilgi Sistemi (Örneğin; Bankacılık ve Sigortacılık TYYÇ Yeterlilikleri –Program Çıktı İlişkileri (5. Düzey Ön lisans)) üzerinden iç ve dış paydaşlar ile paylaşılmaktadır </w:t>
            </w:r>
            <w:hyperlink r:id="rId15" w:history="1">
              <w:r>
                <w:rPr>
                  <w:rStyle w:val="Hyperlink"/>
                </w:rPr>
                <w:t>(OD4)</w:t>
              </w:r>
            </w:hyperlink>
            <w:r>
              <w:t>.</w:t>
            </w:r>
          </w:p>
        </w:tc>
      </w:tr>
      <w:tr w:rsidR="001D7629" w14:paraId="1114D86C" w14:textId="77777777" w:rsidTr="00EA706D">
        <w:trPr>
          <w:tblCellSpacing w:w="15" w:type="dxa"/>
        </w:trPr>
        <w:tc>
          <w:tcPr>
            <w:tcW w:w="0" w:type="auto"/>
            <w:vAlign w:val="center"/>
            <w:hideMark/>
          </w:tcPr>
          <w:p w14:paraId="45EBEF94" w14:textId="77777777" w:rsidR="001D7629" w:rsidRDefault="001D7629" w:rsidP="001D7629">
            <w:pPr>
              <w:pStyle w:val="NormalWeb"/>
              <w:ind w:left="375"/>
              <w:jc w:val="both"/>
              <w:rPr>
                <w:b/>
                <w:bCs/>
                <w:sz w:val="21"/>
                <w:szCs w:val="21"/>
              </w:rPr>
            </w:pPr>
          </w:p>
          <w:p w14:paraId="0752DDD5" w14:textId="77777777" w:rsidR="001D7629" w:rsidRDefault="001D7629" w:rsidP="001D7629">
            <w:pPr>
              <w:pStyle w:val="NormalWeb"/>
              <w:ind w:left="375"/>
              <w:jc w:val="both"/>
              <w:rPr>
                <w:sz w:val="21"/>
                <w:szCs w:val="21"/>
              </w:rPr>
            </w:pPr>
            <w:r>
              <w:rPr>
                <w:b/>
                <w:bCs/>
                <w:sz w:val="21"/>
                <w:szCs w:val="21"/>
              </w:rPr>
              <w:t>Olgunluk Değeri 4 :</w:t>
            </w:r>
            <w:r>
              <w:rPr>
                <w:sz w:val="21"/>
                <w:szCs w:val="21"/>
              </w:rPr>
              <w:t xml:space="preserve"> Ders kazanımlarının program çıktılarıyla uyumu izlenmekte ve iyileştirilmektedir. </w:t>
            </w:r>
          </w:p>
        </w:tc>
      </w:tr>
    </w:tbl>
    <w:p w14:paraId="67BF68DF" w14:textId="77777777" w:rsidR="001D7629" w:rsidRDefault="001D7629" w:rsidP="001D7629">
      <w:pPr>
        <w:ind w:left="426"/>
        <w:jc w:val="both"/>
        <w:rPr>
          <w:b/>
        </w:rPr>
      </w:pPr>
    </w:p>
    <w:p w14:paraId="35271159" w14:textId="77777777" w:rsidR="00CF2877" w:rsidRDefault="00CF2877" w:rsidP="001D7629">
      <w:pPr>
        <w:ind w:left="426"/>
        <w:jc w:val="both"/>
        <w:rPr>
          <w:b/>
        </w:rPr>
      </w:pPr>
    </w:p>
    <w:p w14:paraId="3FF97A64" w14:textId="77777777" w:rsidR="00610B1C" w:rsidRDefault="00610B1C" w:rsidP="001D7629">
      <w:pPr>
        <w:ind w:left="426"/>
        <w:jc w:val="both"/>
        <w:rPr>
          <w:b/>
        </w:rPr>
      </w:pPr>
    </w:p>
    <w:p w14:paraId="05B5ED7F" w14:textId="77777777" w:rsidR="00610B1C" w:rsidRDefault="00610B1C" w:rsidP="001D7629">
      <w:pPr>
        <w:ind w:left="426"/>
        <w:jc w:val="both"/>
        <w:rPr>
          <w:b/>
        </w:rPr>
      </w:pPr>
    </w:p>
    <w:p w14:paraId="492C48FE" w14:textId="77777777" w:rsidR="00610B1C" w:rsidRDefault="00610B1C" w:rsidP="001D7629">
      <w:pPr>
        <w:ind w:left="426"/>
        <w:jc w:val="both"/>
        <w:rPr>
          <w:b/>
        </w:rPr>
      </w:pPr>
    </w:p>
    <w:p w14:paraId="36D1511C" w14:textId="77777777" w:rsidR="00CF2877" w:rsidRDefault="00CF2877" w:rsidP="001D7629">
      <w:pPr>
        <w:ind w:left="426"/>
        <w:jc w:val="both"/>
        <w:rPr>
          <w:b/>
        </w:rPr>
      </w:pPr>
    </w:p>
    <w:p w14:paraId="1721677B" w14:textId="77777777" w:rsidR="00CF2877" w:rsidRDefault="00CF2877" w:rsidP="001D7629">
      <w:pPr>
        <w:ind w:left="426"/>
        <w:jc w:val="both"/>
        <w:rPr>
          <w:b/>
        </w:rPr>
      </w:pPr>
    </w:p>
    <w:p w14:paraId="778B9805" w14:textId="77777777" w:rsidR="001D7629" w:rsidRDefault="00A574FF" w:rsidP="00A574FF">
      <w:pPr>
        <w:ind w:left="709"/>
        <w:jc w:val="both"/>
        <w:rPr>
          <w:b/>
          <w:bCs/>
        </w:rPr>
      </w:pPr>
      <w:r w:rsidRPr="00A574FF">
        <w:rPr>
          <w:b/>
          <w:bCs/>
        </w:rPr>
        <w:t>B.1.4. Öğrenci iş yüküne dayalı ders tasarımı</w:t>
      </w:r>
    </w:p>
    <w:p w14:paraId="4153FCD0" w14:textId="77777777" w:rsidR="00A574FF" w:rsidRDefault="00A574FF" w:rsidP="001D7629">
      <w:pPr>
        <w:ind w:left="426"/>
        <w:jc w:val="both"/>
        <w:rPr>
          <w:b/>
          <w:bCs/>
        </w:rPr>
      </w:pPr>
    </w:p>
    <w:p w14:paraId="4E16A149" w14:textId="77777777" w:rsidR="00A574FF" w:rsidRDefault="00A574FF" w:rsidP="00A574FF">
      <w:pPr>
        <w:ind w:left="426"/>
        <w:jc w:val="both"/>
      </w:pPr>
      <w:r>
        <w:t xml:space="preserve">Ders Planı Hazırlama, Uygulama ve İntibak Esasları Yönergesine istinaden her seviyedeki programda iş yükü kredileri tanımlanmış ve paydaşlarla Eğitim Bilgi Sistemi web sayfasında paylaşılmıştır </w:t>
      </w:r>
      <w:hyperlink r:id="rId16" w:history="1">
        <w:r>
          <w:rPr>
            <w:rStyle w:val="Hyperlink"/>
          </w:rPr>
          <w:t>(OD3)</w:t>
        </w:r>
      </w:hyperlink>
      <w:r>
        <w:t>.</w:t>
      </w:r>
    </w:p>
    <w:p w14:paraId="553652AC" w14:textId="77777777" w:rsidR="00A574FF" w:rsidRDefault="00A574FF" w:rsidP="00A574FF">
      <w:pPr>
        <w:pStyle w:val="NormalWeb"/>
        <w:ind w:left="426"/>
        <w:jc w:val="both"/>
      </w:pPr>
      <w:r>
        <w:t>BMYO bünyesindeki ön lisans programlarının iş yükü tanımlamasında, AKTS hesaplamaları yapılmaktadır. Akademik Kredi Transfer Sistemi (AKTS) öğrenci merkezli, öğrencinin iş yüküne dayalı bir kredi sistemidir. Bu sistemde, öğrencinin ders başarısını sağladığının göstergesi olarak ders için yapmış olduğu çalışmaları (teorik ders, uygulama, bireysel çalışma, sınav, ödev gibi) kapsayan bir hesaplama ile kazanımların ölçümü yapılmaktadır. Ön lisans eğitimi veren meslek yüksekokulları TYYÇ kapsamında 5. Düzeyde yer almakta, iki yıl süreyle eğitim verilen bu düzeyde toplam AKTS kredisi 120, toplam öğrenci çalışma yükü 3000 saat (1 AKTS=25 Saat). Bu genel hesaplama çerçevesinde öğrencilerin eğitim süreçleri bölüm müfredatları çerçevesinde gerçekleştirilmektedir. Program müfredatları öğrencilerin Öğrenci İşleri Sistem ve bağlı oldukları Birim web sitesinde paylaşılmaktadır.</w:t>
      </w:r>
    </w:p>
    <w:p w14:paraId="200E7291" w14:textId="77777777" w:rsidR="00A574FF" w:rsidRDefault="00A574FF" w:rsidP="00A574FF">
      <w:pPr>
        <w:pStyle w:val="NormalWeb"/>
        <w:ind w:left="426"/>
        <w:jc w:val="both"/>
      </w:pPr>
      <w:r>
        <w:t>Öğrencilere iş yükü hesaplama sürecinde iş yükü anketi yapılmamaktadır. Öğrencilerin işyeri ortamında gerçekleştirdikleri uygulama ve stajların iş yükü programın toplam iş yüküne dâhil edilmemektedir.</w:t>
      </w:r>
    </w:p>
    <w:p w14:paraId="654DF599" w14:textId="77777777" w:rsidR="00A574FF" w:rsidRDefault="00A574FF" w:rsidP="00A574FF">
      <w:pPr>
        <w:pStyle w:val="NormalWeb"/>
        <w:ind w:left="426"/>
        <w:jc w:val="both"/>
      </w:pPr>
      <w:r>
        <w:t xml:space="preserve">İşletmede Mesleki Eğitim modeli çerçevesinde öğrencilerin staj süreçleri Bilecik Şeyh Edebali Üniversitesi Meslek Yüksekokulları İşyeri Uygulaması Yönergesi doğrultusunda gerçekleştirilmektedir </w:t>
      </w:r>
      <w:hyperlink r:id="rId17" w:history="1">
        <w:r>
          <w:rPr>
            <w:rStyle w:val="Hyperlink"/>
          </w:rPr>
          <w:t>(OD3)</w:t>
        </w:r>
      </w:hyperlink>
      <w:r>
        <w:t>. Öğrencilerin işyeri ortamında gerçekleştirdikleri uygulama ve stajların iş yükü programın toplam iş yüküne dâhil edilmemektedir. Bu süreçte standart staj formları kullanılmasına öncelik verilerek iş ve işlemlerde etkinlik ve verimlilik sağlanması amaçlanmaktadır.</w:t>
      </w:r>
    </w:p>
    <w:p w14:paraId="7AD3CF03" w14:textId="77777777" w:rsidR="00A574FF" w:rsidRDefault="00B3217C" w:rsidP="00B3217C">
      <w:pPr>
        <w:pStyle w:val="NormalWeb"/>
        <w:ind w:left="709"/>
        <w:jc w:val="both"/>
        <w:rPr>
          <w:sz w:val="21"/>
          <w:szCs w:val="21"/>
        </w:rPr>
      </w:pPr>
      <w:r>
        <w:rPr>
          <w:b/>
          <w:bCs/>
          <w:sz w:val="21"/>
          <w:szCs w:val="21"/>
        </w:rPr>
        <w:t>Olgunluk Değeri 3 :</w:t>
      </w:r>
      <w:r>
        <w:rPr>
          <w:sz w:val="21"/>
          <w:szCs w:val="21"/>
        </w:rPr>
        <w:t xml:space="preserve"> Dersler öğrenci iş yüküne uygun olarak tasarlanmış, ilan edilmiş ve uygulamaya konulmuştur.</w:t>
      </w:r>
    </w:p>
    <w:p w14:paraId="2AB99D87" w14:textId="77777777" w:rsidR="00CF2877" w:rsidRDefault="00CF2877" w:rsidP="00CC4759">
      <w:pPr>
        <w:pStyle w:val="NormalWeb"/>
        <w:ind w:left="709"/>
        <w:jc w:val="both"/>
        <w:rPr>
          <w:b/>
          <w:bCs/>
        </w:rPr>
      </w:pPr>
    </w:p>
    <w:p w14:paraId="2DDD0C33" w14:textId="77777777" w:rsidR="00CC4759" w:rsidRDefault="00CC4759" w:rsidP="00CC4759">
      <w:pPr>
        <w:pStyle w:val="NormalWeb"/>
        <w:ind w:left="709"/>
        <w:jc w:val="both"/>
        <w:rPr>
          <w:b/>
          <w:bCs/>
        </w:rPr>
      </w:pPr>
      <w:r w:rsidRPr="00CC4759">
        <w:rPr>
          <w:b/>
          <w:bCs/>
        </w:rPr>
        <w:t>B.1.5. Programların izlenmesi ve güncellenmesi</w:t>
      </w:r>
    </w:p>
    <w:p w14:paraId="1429D74C" w14:textId="77777777" w:rsidR="00CC4759" w:rsidRDefault="00CC4759" w:rsidP="00731644">
      <w:pPr>
        <w:pStyle w:val="NormalWeb"/>
        <w:ind w:left="426"/>
        <w:jc w:val="both"/>
      </w:pPr>
      <w:r>
        <w:t>Yüksekokulumuzda programların izlenmesi ve güncellenmesi süreci öğretim elemanları tarafından hazırlanan ders izlencelerinin eğitim-öğretim yılı dönem başında Eğitim Bilgi Sistemine işlenmektedir.</w:t>
      </w:r>
    </w:p>
    <w:p w14:paraId="24353F20" w14:textId="77777777" w:rsidR="00CC4759" w:rsidRDefault="00CC4759" w:rsidP="00731644">
      <w:pPr>
        <w:pStyle w:val="NormalWeb"/>
        <w:ind w:left="426"/>
        <w:jc w:val="both"/>
      </w:pPr>
      <w:r>
        <w:t> Her bir bölüm düzenli olarak birim iç değerlendirme raporlarını oluşturup yılsonunda birime iletmektedir [1_OD5].</w:t>
      </w:r>
    </w:p>
    <w:p w14:paraId="29C3712A" w14:textId="7487206C" w:rsidR="00CC4759" w:rsidRDefault="00CC4759" w:rsidP="00731644">
      <w:pPr>
        <w:pStyle w:val="NormalWeb"/>
        <w:ind w:left="426"/>
        <w:jc w:val="both"/>
      </w:pPr>
      <w:r>
        <w:lastRenderedPageBreak/>
        <w:t xml:space="preserve">Birim olarak yönetim de yıl sonunda Birim Öz değerlendirme raporunu hazırlamaktadır. Hazırlanan raporlar ise tüm paydaşlarımızın görebileceği şekilde Bozüyük MYO ana sayfamızda her yıl yayınlanmaktadır </w:t>
      </w:r>
      <w:hyperlink r:id="rId18" w:history="1">
        <w:r>
          <w:rPr>
            <w:rStyle w:val="Hyperlink"/>
          </w:rPr>
          <w:t>(OD5)</w:t>
        </w:r>
      </w:hyperlink>
    </w:p>
    <w:p w14:paraId="49D9171F" w14:textId="7F4395AB" w:rsidR="00CC4759" w:rsidRDefault="00CC4759" w:rsidP="00731644">
      <w:pPr>
        <w:pStyle w:val="NormalWeb"/>
        <w:ind w:left="426"/>
        <w:jc w:val="both"/>
      </w:pPr>
      <w:r>
        <w:t xml:space="preserve">Üniversitemizde mezun bilgi yönetimi sistemi kurulmuş olup, ilgili sistem Üniversitemiz web sayfası üzerinden iç ve dış paydaşlarımızın kullanımına açılmıştır. Bu sistem tüm alt yapısı ile çalışır vaziyette olup mezunlarımız demografik bilgilerini, iletişim bilgilerini, akademik ve çalışma hayatı bilgilerini  “Mezun Girişi” sekmesini kullanarak, kendilerini sisteme kayıt edebilmektedirler </w:t>
      </w:r>
      <w:hyperlink r:id="rId19" w:history="1">
        <w:r>
          <w:rPr>
            <w:rStyle w:val="Hyperlink"/>
          </w:rPr>
          <w:t>(OD5)</w:t>
        </w:r>
      </w:hyperlink>
      <w:r>
        <w:t>.</w:t>
      </w:r>
    </w:p>
    <w:p w14:paraId="2858E950" w14:textId="77777777" w:rsidR="00CF2877" w:rsidRDefault="00CF2877" w:rsidP="00CC4759">
      <w:pPr>
        <w:pStyle w:val="NormalWeb"/>
        <w:ind w:left="426"/>
        <w:rPr>
          <w:rStyle w:val="Strong"/>
        </w:rPr>
      </w:pPr>
    </w:p>
    <w:p w14:paraId="75FB6EDC" w14:textId="77777777" w:rsidR="00CC4759" w:rsidRDefault="00CC4759" w:rsidP="00CC4759">
      <w:pPr>
        <w:pStyle w:val="NormalWeb"/>
        <w:ind w:left="426"/>
      </w:pPr>
      <w:r>
        <w:rPr>
          <w:rStyle w:val="Strong"/>
        </w:rPr>
        <w:t>Kanıt</w:t>
      </w:r>
    </w:p>
    <w:p w14:paraId="49D8F518" w14:textId="77777777" w:rsidR="00CC4759" w:rsidRDefault="00CC4759" w:rsidP="00CC4759">
      <w:pPr>
        <w:pStyle w:val="NormalWeb"/>
        <w:ind w:left="426"/>
        <w:jc w:val="both"/>
      </w:pPr>
      <w:r>
        <w:t>[1](5)B.1.5.birim_oz_degerlendirme_raporu_2024</w:t>
      </w:r>
    </w:p>
    <w:p w14:paraId="233F6746" w14:textId="77777777" w:rsidR="00BA40F1" w:rsidRDefault="00BA40F1" w:rsidP="00BA40F1">
      <w:pPr>
        <w:pStyle w:val="NormalWeb"/>
        <w:ind w:left="709"/>
        <w:jc w:val="both"/>
        <w:rPr>
          <w:sz w:val="21"/>
          <w:szCs w:val="21"/>
        </w:rPr>
      </w:pPr>
      <w:r>
        <w:rPr>
          <w:b/>
          <w:bCs/>
          <w:sz w:val="21"/>
          <w:szCs w:val="21"/>
        </w:rPr>
        <w:t>Olgunluk Değeri 5 :</w:t>
      </w:r>
      <w:r>
        <w:rPr>
          <w:sz w:val="21"/>
          <w:szCs w:val="21"/>
        </w:rPr>
        <w:t xml:space="preserve"> İçselleştirilmiş, sistematik, sürdürülebilir ve örnek gösterilebilir uygulamalar bulunmaktadır.</w:t>
      </w:r>
    </w:p>
    <w:p w14:paraId="52699BD4" w14:textId="77777777" w:rsidR="00BA40F1" w:rsidRDefault="005773F4" w:rsidP="005773F4">
      <w:pPr>
        <w:pStyle w:val="NormalWeb"/>
        <w:ind w:left="709"/>
        <w:jc w:val="both"/>
        <w:rPr>
          <w:b/>
          <w:bCs/>
        </w:rPr>
      </w:pPr>
      <w:r w:rsidRPr="005773F4">
        <w:rPr>
          <w:b/>
          <w:bCs/>
        </w:rPr>
        <w:t>B.1.6. Eğitim ve öğretim süreçlerinin yönetimi</w:t>
      </w:r>
    </w:p>
    <w:p w14:paraId="388C0515" w14:textId="77777777" w:rsidR="005773F4" w:rsidRDefault="005773F4" w:rsidP="00731644">
      <w:pPr>
        <w:pStyle w:val="NormalWeb"/>
        <w:ind w:left="426"/>
        <w:jc w:val="both"/>
      </w:pPr>
      <w:r>
        <w:t>Birimimiz bünyesindeki eğitim programları, öğrenciler ve çalışanlardan oluşan iç paydaşların görüş ve önerileri doğrultusunda gözden geçirilerek değerlendirilmektedir. Bu kapsamda, akademik personelin yapmış olduğu bilimsel çalışmalar, staj ve İşletmede Mesleki Eğitim uygulamalarının geri dönüşleri esas alınmaktadır.  Zorunlu ders müfredatları yanında güncel ihtiyaçlara göre müfredata eklenip çıkarılabilen seçmeli ders sayılarının artırılması güncellemedeki esnekliği artırmaktadır [1_OD4]. Programlara ait eğitim-öğretim müfredatları ders listesi ve ders içerikleri öncelikle ilgili öğretim elemanı tarafından değerlendirilmekte, Bölüm Başkanlığı tarafından uygunluğu incelenmekte ve karar verilmektedir [2_OD4].</w:t>
      </w:r>
    </w:p>
    <w:p w14:paraId="6EABD423" w14:textId="77777777" w:rsidR="005773F4" w:rsidRDefault="005773F4" w:rsidP="005773F4">
      <w:pPr>
        <w:pStyle w:val="NormalWeb"/>
        <w:ind w:left="426"/>
        <w:jc w:val="both"/>
      </w:pPr>
      <w:r>
        <w:t> </w:t>
      </w:r>
      <w:r>
        <w:rPr>
          <w:rStyle w:val="Strong"/>
        </w:rPr>
        <w:t>Kanıt</w:t>
      </w:r>
    </w:p>
    <w:p w14:paraId="50F636EE" w14:textId="77777777" w:rsidR="005773F4" w:rsidRDefault="005773F4" w:rsidP="005773F4">
      <w:pPr>
        <w:pStyle w:val="NormalWeb"/>
        <w:ind w:left="426"/>
        <w:jc w:val="both"/>
      </w:pPr>
      <w:r>
        <w:t>[1](4)B.1.6.bagimlilikla_mucadele_dersi_yazisi</w:t>
      </w:r>
    </w:p>
    <w:p w14:paraId="10A617D0" w14:textId="77777777" w:rsidR="005773F4" w:rsidRDefault="005773F4" w:rsidP="005773F4">
      <w:pPr>
        <w:pStyle w:val="NormalWeb"/>
        <w:ind w:left="426"/>
        <w:jc w:val="both"/>
      </w:pPr>
      <w:r>
        <w:t>[2](4)B.1.6.yeni_ders_acma_talep_yazisi</w:t>
      </w:r>
    </w:p>
    <w:p w14:paraId="4EEC47C0" w14:textId="77777777" w:rsidR="005773F4" w:rsidRDefault="005773F4" w:rsidP="00731644">
      <w:pPr>
        <w:pStyle w:val="NormalWeb"/>
        <w:ind w:left="709"/>
        <w:jc w:val="both"/>
        <w:rPr>
          <w:sz w:val="21"/>
          <w:szCs w:val="21"/>
        </w:rPr>
      </w:pPr>
      <w:r>
        <w:rPr>
          <w:b/>
          <w:bCs/>
          <w:sz w:val="21"/>
          <w:szCs w:val="21"/>
        </w:rPr>
        <w:t>Olgunluk Değeri 4 :</w:t>
      </w:r>
      <w:r>
        <w:rPr>
          <w:sz w:val="21"/>
          <w:szCs w:val="21"/>
        </w:rPr>
        <w:t xml:space="preserve"> Kurumda eğitim ve öğretim yönetim sistemine ilişkin uygulamalar izlenmekte ve izlem sonuçlarına göre iyileştirme yapılmaktadır.</w:t>
      </w:r>
    </w:p>
    <w:p w14:paraId="59896BA3" w14:textId="77777777" w:rsidR="00CF2877" w:rsidRDefault="00CF2877" w:rsidP="005773F4">
      <w:pPr>
        <w:pStyle w:val="NormalWeb"/>
        <w:ind w:left="426"/>
        <w:jc w:val="both"/>
        <w:rPr>
          <w:b/>
          <w:bCs/>
        </w:rPr>
      </w:pPr>
    </w:p>
    <w:p w14:paraId="07F332B8" w14:textId="77777777" w:rsidR="005773F4" w:rsidRDefault="00092D28" w:rsidP="005773F4">
      <w:pPr>
        <w:pStyle w:val="NormalWeb"/>
        <w:ind w:left="426"/>
        <w:jc w:val="both"/>
        <w:rPr>
          <w:b/>
          <w:bCs/>
        </w:rPr>
      </w:pPr>
      <w:r w:rsidRPr="00092D28">
        <w:rPr>
          <w:b/>
          <w:bCs/>
        </w:rPr>
        <w:t>B.2. Programların Yürütülmesi (Öğrenci Merkezli Öğrenme, Öğretme ve Değerlendirme)</w:t>
      </w:r>
    </w:p>
    <w:p w14:paraId="17ED82E8" w14:textId="77777777" w:rsidR="00092D28" w:rsidRDefault="00092D28" w:rsidP="00092D28">
      <w:pPr>
        <w:pStyle w:val="NormalWeb"/>
        <w:ind w:left="709"/>
        <w:jc w:val="both"/>
        <w:rPr>
          <w:b/>
          <w:bCs/>
        </w:rPr>
      </w:pPr>
      <w:r w:rsidRPr="00092D28">
        <w:rPr>
          <w:b/>
          <w:bCs/>
        </w:rPr>
        <w:t>B.2.1. Öğretim yöntem ve teknikleri</w:t>
      </w:r>
    </w:p>
    <w:p w14:paraId="0DC3AB64" w14:textId="77777777" w:rsidR="00CB2F6E" w:rsidRDefault="00CB2F6E" w:rsidP="00A77378">
      <w:pPr>
        <w:pStyle w:val="NormalWeb"/>
        <w:ind w:left="426"/>
        <w:jc w:val="both"/>
      </w:pPr>
      <w:r>
        <w:t xml:space="preserve">BMYO bünyesinde eğitim-öğretim süreçlerinin verimliliğini arttırmak öncelikli faaliyetler arasındadır. Birimimizde yer alan programlarımızda öğrencilerin mesleki ve bireysel istek ve ihtiyaçları dikkate alınarak öğrenci merkezli eğitim öğretim metotları yaygın olarak kullanılmaktadır. Bu doğrultuda akademik yılbaşlarında Birim öğretim planları incelenmektedir. Birim bünyesinde yer alan dersliklerin mevcut durumunun iyileştirilmesi, bilgisayar laboratuvarlarının geliştirilmesi, akademik ve idari personelin bireysel çalışma alanlarının iyileştirilmesi, teknolojik ve fiziksel altyapının iyileştirilmesi </w:t>
      </w:r>
      <w:r>
        <w:lastRenderedPageBreak/>
        <w:t>süreçlerinde öğrenme kaynakları ve uygulama alanlarında verimlilik sağlanması amaçlanmaktadır.</w:t>
      </w:r>
    </w:p>
    <w:p w14:paraId="2692DC25" w14:textId="7B1F7E14" w:rsidR="00CB2F6E" w:rsidRDefault="00CB2F6E" w:rsidP="00A77378">
      <w:pPr>
        <w:pStyle w:val="NormalWeb"/>
        <w:ind w:left="426"/>
        <w:jc w:val="both"/>
      </w:pPr>
      <w:r>
        <w:t xml:space="preserve">Uzaktan eğitimin verilmesini sağlayan üniversitemizde Uzaktan Eğitim Modülü bulunmaktadır </w:t>
      </w:r>
      <w:hyperlink r:id="rId20" w:history="1">
        <w:r>
          <w:rPr>
            <w:rStyle w:val="Hyperlink"/>
          </w:rPr>
          <w:t>(OD3)</w:t>
        </w:r>
      </w:hyperlink>
      <w:r>
        <w:t>. Bu modül öğrenci ve akademisyenlerin her türlü ihtiyaçlarına karşılık verecek biçimde tasarlanmıştır. Ayrıca eğitim öğretim faaliyetlerinde dijitalleşmenin gereği olarak hem yazılım hem de donanım anlamında akademisyen ve öğrencilere gerekli desteklerin sunulduğu bilgisayar teknolojileri laboratuvarımız bulunmaktadır.</w:t>
      </w:r>
    </w:p>
    <w:p w14:paraId="6B142F7C" w14:textId="77777777" w:rsidR="00092D28" w:rsidRDefault="00CB2F6E" w:rsidP="00A77378">
      <w:pPr>
        <w:pStyle w:val="NormalWeb"/>
        <w:ind w:left="426"/>
        <w:jc w:val="both"/>
      </w:pPr>
      <w:r>
        <w:t>Öğrenci ve öğretim elemanları kablolu ve kablosuz internet hizmetlerinden faydalanabilmektedir. Öğrenciler danışmanları aracılığıyla eğitim süreçlerine yönelik soru ve bilgi taleplerini karşılayabilmektedir. Öğrencilerin disiplinler arası bakış açısı kazanmasına yönelik ders seçebilme imkânı mevcuttur. Öğrenciler öğretim elemanlarının e-postaları aracılığıyla iletişim ihtiyacını karşılayabilmektedir. Ayrıca UZEM üzerinden mesajla, Öğrenci işleri sistemi üzerinden mesajla ve kurum telefonları aracılığıyla ilgili öğretim elemanına ulaşabilmektedir. Öğrenci kazanımlarını verimli hale getirmeye yönelik ölçme ve değerlendirme süreçlerinin planlanmasına öncelik verilmektedir.</w:t>
      </w:r>
    </w:p>
    <w:p w14:paraId="006EA329" w14:textId="77777777" w:rsidR="00CB2F6E" w:rsidRDefault="00B5472C" w:rsidP="00B5472C">
      <w:pPr>
        <w:pStyle w:val="NormalWeb"/>
        <w:ind w:left="709"/>
        <w:jc w:val="both"/>
      </w:pPr>
      <w:r>
        <w:rPr>
          <w:b/>
          <w:bCs/>
          <w:sz w:val="21"/>
          <w:szCs w:val="21"/>
        </w:rPr>
        <w:t>Olgunluk Değeri 3 :</w:t>
      </w:r>
      <w:r>
        <w:rPr>
          <w:sz w:val="21"/>
          <w:szCs w:val="21"/>
        </w:rPr>
        <w:t xml:space="preserve"> Programların genelinde öğrenci merkezli öğretim yöntem teknikleri tanımlı süreçler doğrultusunda uygulanmaktadır.</w:t>
      </w:r>
    </w:p>
    <w:p w14:paraId="2F75F9CB" w14:textId="77777777" w:rsidR="005773F4" w:rsidRDefault="00E33901" w:rsidP="00E33901">
      <w:pPr>
        <w:pStyle w:val="NormalWeb"/>
        <w:ind w:left="709"/>
        <w:jc w:val="both"/>
        <w:rPr>
          <w:b/>
          <w:bCs/>
        </w:rPr>
      </w:pPr>
      <w:r w:rsidRPr="00E33901">
        <w:rPr>
          <w:b/>
          <w:bCs/>
        </w:rPr>
        <w:t>B.2.2. Ölçme ve değerlendirme</w:t>
      </w:r>
    </w:p>
    <w:p w14:paraId="5BFCA66E" w14:textId="77777777" w:rsidR="00E33901" w:rsidRDefault="00E33901" w:rsidP="00E33901">
      <w:pPr>
        <w:pStyle w:val="NormalWeb"/>
        <w:ind w:left="426"/>
        <w:jc w:val="both"/>
      </w:pPr>
      <w:r>
        <w:t>Sınavlarda öğrenci başarısını ölçme ve değerlendirmede ödev, vize ve final sınavları yüz yüze ve süreli ödev şeklinde uygulanmaktadır. Ortak dersler için vize, final, mazeret ve bütünleme sınavları UZEM birimi tarafından tek oturumda gerçekleşmektedir. Programlarımızdaki derslerde başarı notunun hesaplanmasında yarıyıl başında ilgili akademik personel tarafından OBS üzerinden vize ve final sınavlarının ağırlıklarını sisteme tanımlar. Bununla birlikte öğrencinin dersten başarılı sayılabilmesi için final sınavından en az 50 puan alınması gereklidir. Tüm bu planlamalar üniversitemizin Ön Lisans Eğitim Öğretim ve Sınav Yönetmeliği çerçevesince düzenlenmiştir (</w:t>
      </w:r>
      <w:hyperlink r:id="rId21" w:history="1">
        <w:r>
          <w:rPr>
            <w:rStyle w:val="Hyperlink"/>
          </w:rPr>
          <w:t>OD4</w:t>
        </w:r>
      </w:hyperlink>
      <w:r>
        <w:t>).</w:t>
      </w:r>
    </w:p>
    <w:p w14:paraId="0689AC75" w14:textId="77777777" w:rsidR="000524B7" w:rsidRDefault="000524B7" w:rsidP="000524B7">
      <w:pPr>
        <w:pStyle w:val="NormalWeb"/>
        <w:ind w:left="709"/>
        <w:jc w:val="both"/>
        <w:rPr>
          <w:sz w:val="21"/>
          <w:szCs w:val="21"/>
        </w:rPr>
      </w:pPr>
      <w:r>
        <w:rPr>
          <w:b/>
          <w:bCs/>
          <w:sz w:val="21"/>
          <w:szCs w:val="21"/>
        </w:rPr>
        <w:t>Olgunluk Değeri 4 :</w:t>
      </w:r>
      <w:r>
        <w:rPr>
          <w:sz w:val="21"/>
          <w:szCs w:val="21"/>
        </w:rPr>
        <w:t xml:space="preserve"> Öğrenci merkezli ölçme ve değerlendirme uygulamaları izlenmekte ve ilgili iç paydaşların katılımıyla iyileştirilmektedir.</w:t>
      </w:r>
    </w:p>
    <w:p w14:paraId="6AA9C23E" w14:textId="77777777" w:rsidR="00136FF1" w:rsidRDefault="00136FF1" w:rsidP="00136FF1">
      <w:pPr>
        <w:pStyle w:val="NormalWeb"/>
        <w:ind w:left="709"/>
        <w:jc w:val="both"/>
        <w:rPr>
          <w:b/>
          <w:bCs/>
        </w:rPr>
      </w:pPr>
      <w:r w:rsidRPr="00136FF1">
        <w:rPr>
          <w:b/>
          <w:bCs/>
        </w:rPr>
        <w:t>B.2.3. Öğrenci kabulü, önceki öğrenmenin tanınması ve kredilendirilmesi</w:t>
      </w:r>
    </w:p>
    <w:p w14:paraId="0D8DB824" w14:textId="1AA108A6" w:rsidR="00136FF1" w:rsidRDefault="00136FF1" w:rsidP="00136FF1">
      <w:pPr>
        <w:pStyle w:val="NormalWeb"/>
        <w:ind w:left="426"/>
        <w:jc w:val="both"/>
      </w:pPr>
      <w:r>
        <w:t xml:space="preserve">Üniversitede, öğrenci kabullerinde ilgili yönetmelik ve yönerge hükümleri uygulanarak açık ve tutarlı kriterler esas alınmaktadır. Önceki Öğrenmelerin Tanınmasına İlişkin Yönerge hazırlanmış ve Senato onayından sonra yürürlüğe girmiştir </w:t>
      </w:r>
      <w:hyperlink r:id="rId22" w:history="1">
        <w:r>
          <w:rPr>
            <w:rStyle w:val="Hyperlink"/>
          </w:rPr>
          <w:t>(OD4)</w:t>
        </w:r>
      </w:hyperlink>
      <w:r>
        <w:t>.</w:t>
      </w:r>
    </w:p>
    <w:p w14:paraId="10DDFAF9" w14:textId="77777777" w:rsidR="00136FF1" w:rsidRDefault="00136FF1" w:rsidP="00136FF1">
      <w:pPr>
        <w:pStyle w:val="NormalWeb"/>
        <w:ind w:left="426"/>
        <w:jc w:val="both"/>
      </w:pPr>
      <w:r>
        <w:t>Önceki öğrenmelerin tanınmasında öğrenci iş yükü temelli krediler (AKTS) kullanılmaktadır. Paydaşlara Üniversitemiz web sayfası üzerinden bilgilendirme yapılmaktadır.</w:t>
      </w:r>
    </w:p>
    <w:p w14:paraId="2EF1D748" w14:textId="77777777" w:rsidR="00136FF1" w:rsidRDefault="00136FF1" w:rsidP="00136FF1">
      <w:pPr>
        <w:pStyle w:val="NormalWeb"/>
        <w:ind w:left="709"/>
        <w:jc w:val="both"/>
        <w:rPr>
          <w:sz w:val="21"/>
          <w:szCs w:val="21"/>
        </w:rPr>
      </w:pPr>
      <w:r>
        <w:rPr>
          <w:b/>
          <w:bCs/>
          <w:sz w:val="21"/>
          <w:szCs w:val="21"/>
        </w:rPr>
        <w:t>Olgunluk Değeri 4 :</w:t>
      </w:r>
      <w:r>
        <w:rPr>
          <w:sz w:val="21"/>
          <w:szCs w:val="21"/>
        </w:rPr>
        <w:t xml:space="preserve"> Öğrenci kabulü, önceki öğrenmenin tanınması ve kredilendirilmesine ilişkin süreçler izlenmekte, iyileştirilmekte ve güncellemeler ilan edilmektedir.</w:t>
      </w:r>
    </w:p>
    <w:p w14:paraId="0EDCC12C" w14:textId="77777777" w:rsidR="00136FF1" w:rsidRDefault="005B06AB" w:rsidP="005B06AB">
      <w:pPr>
        <w:pStyle w:val="NormalWeb"/>
        <w:ind w:left="709"/>
        <w:jc w:val="both"/>
        <w:rPr>
          <w:b/>
          <w:bCs/>
        </w:rPr>
      </w:pPr>
      <w:r w:rsidRPr="005B06AB">
        <w:rPr>
          <w:b/>
          <w:bCs/>
        </w:rPr>
        <w:t>B.2.4. Yeterliliklerin sertifikalandırılması ve diploma</w:t>
      </w:r>
    </w:p>
    <w:p w14:paraId="45EB6A8F" w14:textId="77777777" w:rsidR="005B06AB" w:rsidRDefault="005B06AB" w:rsidP="005B06AB">
      <w:pPr>
        <w:pStyle w:val="NormalWeb"/>
        <w:ind w:left="426"/>
        <w:jc w:val="both"/>
      </w:pPr>
      <w:r>
        <w:t xml:space="preserve">Birimimizde diploma, derece ve diğer yeterliliklerin tanınması ve sertifikalandırılmasına ilişkin açık, anlaşılır, kapsamlı şekilde yönetmelik ile yönergeler bulunmakta ve uygulanmaktadır. Birim bünyesinde mezuniyet sürecinin başlaması ve öğrencilerin diploma almaya hak kazanması için Bilecik Şeyh Edebali Üniversitesi Ön Lisans Eğitim </w:t>
      </w:r>
      <w:r>
        <w:lastRenderedPageBreak/>
        <w:t xml:space="preserve">Öğretim ve Sınav Yönetmeliği kapsamında yer alan temel şartların sağlanması, usul ve esasların gerçekleşmesi gereklidir </w:t>
      </w:r>
      <w:hyperlink r:id="rId23" w:history="1">
        <w:r>
          <w:rPr>
            <w:rStyle w:val="Hyperlink"/>
          </w:rPr>
          <w:t>(OD4)</w:t>
        </w:r>
      </w:hyperlink>
      <w:r>
        <w:t>.</w:t>
      </w:r>
    </w:p>
    <w:p w14:paraId="7363C4EA" w14:textId="77777777" w:rsidR="005B06AB" w:rsidRDefault="005B06AB" w:rsidP="005B06AB">
      <w:pPr>
        <w:pStyle w:val="NormalWeb"/>
        <w:ind w:left="426"/>
        <w:jc w:val="both"/>
      </w:pPr>
      <w:r>
        <w:t xml:space="preserve">Üniversite Başarı Değerlendirme Yönergesi gereğince Ön lisans öğrenimini tamamlayabilmesi için ağırlıklı not ortalamasının en az 1,75 olması; öğrenimini tamamlayan ve genel ağırlıklı not ortalaması 3.00 ile 3.49 arasında olan öğrenciler, onur öğrencisi; genel ağırlıklı not ortalaması 3.50 veya üstü olan öğrenciler ise yüksek onur öğrencisi olarak mezun olmaya hak kazanmaktadır </w:t>
      </w:r>
      <w:hyperlink r:id="rId24" w:history="1">
        <w:r>
          <w:rPr>
            <w:rStyle w:val="Hyperlink"/>
          </w:rPr>
          <w:t>(OD4)</w:t>
        </w:r>
      </w:hyperlink>
      <w:r>
        <w:t>. Bu bilgi, öğrencinin not döküm belgesi ve diploma ekinde belirtilir.</w:t>
      </w:r>
    </w:p>
    <w:p w14:paraId="55864476" w14:textId="577D84C0" w:rsidR="005B06AB" w:rsidRDefault="005B06AB" w:rsidP="005B06AB">
      <w:pPr>
        <w:pStyle w:val="NormalWeb"/>
        <w:ind w:left="426"/>
        <w:jc w:val="both"/>
      </w:pPr>
      <w:r>
        <w:t xml:space="preserve">Merkezi yerleştirmeyle gelen öğrenci grupları dışında kalan yatay geçiş, yabancı uyruklu öğrenci sınavı (YÖS) kabullerinde yönergelerde belirtilen hükümler uygulanmaktadır. Öğrencilerin başvuruları web üzerinden alınmakta, Öğrenci Bilgi Sistemi üzerinden değerlendirilmekte ve adaylara sonuçlar ilan edilmektedir </w:t>
      </w:r>
      <w:hyperlink r:id="rId25" w:history="1">
        <w:r>
          <w:rPr>
            <w:rStyle w:val="Hyperlink"/>
          </w:rPr>
          <w:t>(OD4)</w:t>
        </w:r>
      </w:hyperlink>
    </w:p>
    <w:p w14:paraId="1AFD3BA9" w14:textId="77777777" w:rsidR="005B06AB" w:rsidRDefault="005B06AB" w:rsidP="005B06AB">
      <w:pPr>
        <w:pStyle w:val="NormalWeb"/>
        <w:ind w:left="426"/>
        <w:jc w:val="both"/>
      </w:pPr>
      <w:r>
        <w:t>Öğrenci iş yükü kredisi değişim programlarında herhangi bir ek çalışmaya gerek kalmaksızın tanınmakta, not intibakları Öğrenci Bilgi Sistemi üzerinden yapılmakta ve takip edilmektedir.</w:t>
      </w:r>
    </w:p>
    <w:p w14:paraId="7FE67F3C" w14:textId="77777777" w:rsidR="005B06AB" w:rsidRDefault="005B06AB" w:rsidP="005B06AB">
      <w:pPr>
        <w:pStyle w:val="NormalWeb"/>
        <w:ind w:left="709"/>
        <w:jc w:val="both"/>
        <w:rPr>
          <w:sz w:val="21"/>
          <w:szCs w:val="21"/>
        </w:rPr>
      </w:pPr>
      <w:r>
        <w:rPr>
          <w:b/>
          <w:bCs/>
          <w:sz w:val="21"/>
          <w:szCs w:val="21"/>
        </w:rPr>
        <w:t>Olgunluk Değeri 4 :</w:t>
      </w:r>
      <w:r>
        <w:rPr>
          <w:sz w:val="21"/>
          <w:szCs w:val="21"/>
        </w:rPr>
        <w:t xml:space="preserve"> Uygulamalar izlenmekte ve tanımlı süreçler iyileştirilmektedir.</w:t>
      </w:r>
    </w:p>
    <w:p w14:paraId="48AC0D85" w14:textId="77777777" w:rsidR="00CF2877" w:rsidRDefault="00CF2877" w:rsidP="005B06AB">
      <w:pPr>
        <w:pStyle w:val="NormalWeb"/>
        <w:ind w:left="709"/>
        <w:jc w:val="both"/>
        <w:rPr>
          <w:sz w:val="21"/>
          <w:szCs w:val="21"/>
        </w:rPr>
      </w:pPr>
    </w:p>
    <w:p w14:paraId="0B8F7060" w14:textId="77777777" w:rsidR="005B06AB" w:rsidRDefault="00F30AD2" w:rsidP="005B06AB">
      <w:pPr>
        <w:pStyle w:val="NormalWeb"/>
        <w:ind w:left="426"/>
        <w:jc w:val="both"/>
        <w:rPr>
          <w:b/>
          <w:bCs/>
        </w:rPr>
      </w:pPr>
      <w:r w:rsidRPr="00F30AD2">
        <w:rPr>
          <w:b/>
          <w:bCs/>
        </w:rPr>
        <w:t>B.3. Öğrenme Kaynakları ve Akademik Destek Hizmetleri</w:t>
      </w:r>
    </w:p>
    <w:p w14:paraId="18D6CA2D" w14:textId="77777777" w:rsidR="00F30AD2" w:rsidRDefault="00F30AD2" w:rsidP="00F30AD2">
      <w:pPr>
        <w:pStyle w:val="NormalWeb"/>
        <w:ind w:left="709"/>
        <w:jc w:val="both"/>
        <w:rPr>
          <w:b/>
          <w:bCs/>
        </w:rPr>
      </w:pPr>
      <w:r w:rsidRPr="00F30AD2">
        <w:rPr>
          <w:b/>
          <w:bCs/>
        </w:rPr>
        <w:t>B.3.1. Öğrenme ortam ve kaynakları</w:t>
      </w:r>
    </w:p>
    <w:p w14:paraId="0316D5C7" w14:textId="77777777" w:rsidR="003F2E19" w:rsidRDefault="003F2E19" w:rsidP="003F2E19">
      <w:pPr>
        <w:pStyle w:val="NormalWeb"/>
        <w:ind w:left="426"/>
        <w:jc w:val="both"/>
      </w:pPr>
      <w:r>
        <w:t>Birimimizdeki sınıflarda bulunan projeksiyonlar, kablosuz internet erişimi ve bilgisayar laboratuvarları sayesinde öğrenciler ve personeller öğrenme kaynaklarına kolaylıkla erişim sağlayabilmektedir. Bununla birlikte teknik programlarımız için hazırlanmış çalışma atölyeleri, barındırdığı malzemelerle öğrencilerin görsel öğrenme becerilerinin geliştirilmesi hususunda büyük öneme sahiptir. Ancak artan öğrenci sayısı ve iki birimin aynı bina içinde yerleşmesinden dolayı fizibilite sorunu yaşanmakta ve laboratuvar ortamlarında gereç kısıtlılığı göze çarpmaktadır. Bu problemin giderilmesi için ilgili tüm merciler bilgilendirilmiştir. İlerleyen süreçte sorunun giderilmesi hedeflenmektedir.</w:t>
      </w:r>
    </w:p>
    <w:p w14:paraId="1E13D3F7" w14:textId="77777777" w:rsidR="003F2E19" w:rsidRDefault="003F2E19" w:rsidP="003F2E19">
      <w:pPr>
        <w:pStyle w:val="NormalWeb"/>
        <w:ind w:left="426"/>
        <w:jc w:val="both"/>
      </w:pPr>
      <w:r>
        <w:t xml:space="preserve">Birimimizden ders alan öğrencilerimiz kampüs dışından da üniversite kütüphanesinin üye olduğu tüm veri tabanlarından ulaşabilmektedir </w:t>
      </w:r>
      <w:hyperlink r:id="rId26" w:history="1">
        <w:r>
          <w:rPr>
            <w:rStyle w:val="Hyperlink"/>
          </w:rPr>
          <w:t>(OD3)</w:t>
        </w:r>
      </w:hyperlink>
      <w:r>
        <w:t>.</w:t>
      </w:r>
    </w:p>
    <w:p w14:paraId="79B765B3" w14:textId="77777777" w:rsidR="003F2E19" w:rsidRDefault="003F2E19" w:rsidP="003F2E19">
      <w:pPr>
        <w:pStyle w:val="NormalWeb"/>
        <w:ind w:left="426"/>
        <w:jc w:val="both"/>
      </w:pPr>
      <w:r>
        <w:t xml:space="preserve">Birimimizde uzaktan eğitim modülü ve diğer web 2 öğrenme araçları kullanılarak e- öğrenme imkânları sunulmaktadır </w:t>
      </w:r>
      <w:hyperlink r:id="rId27" w:history="1">
        <w:r>
          <w:rPr>
            <w:rStyle w:val="Hyperlink"/>
          </w:rPr>
          <w:t>(OD3)</w:t>
        </w:r>
      </w:hyperlink>
      <w:r>
        <w:t>.</w:t>
      </w:r>
    </w:p>
    <w:p w14:paraId="0BC57300" w14:textId="77777777" w:rsidR="003F2E19" w:rsidRDefault="003F2E19" w:rsidP="003F2E19">
      <w:pPr>
        <w:pStyle w:val="NormalWeb"/>
        <w:ind w:left="426"/>
        <w:jc w:val="both"/>
      </w:pPr>
      <w:r>
        <w:t>Üniversitemizde öğrenim gören tüm öğrencilere OBS üzerinden memnuniyet anketleri uygulanmakta ve geri bildirimler alınarak ilgili birimlere iletilmektedir. 2024 yılı içinde birimimiz ve bölümlerimizle ilgili alınan geri bildirimler ilgililer tarafından işlenmiş ve gerekli adımlar atılmıştır. Ancak bu geribildirim yöntemleri üzerinden yeterli veri elde edilemediği tespit edilmiş ve gelecek dönemler için birim içi memnuniyet anketleri düzenlenmesi planlanmaktadır.</w:t>
      </w:r>
    </w:p>
    <w:p w14:paraId="30D97AED" w14:textId="77777777" w:rsidR="003F2E19" w:rsidRDefault="003F2E19" w:rsidP="003F2E19">
      <w:pPr>
        <w:pStyle w:val="NormalWeb"/>
        <w:ind w:left="426"/>
        <w:jc w:val="both"/>
      </w:pPr>
      <w:r>
        <w:t>Özel yaklaşım gerektiren öğrenciler kayıt esnasında tespit edilerek engelli öğrenci birim sorumlusu ve öğrenci işlerine bildirilmektedir. Gerekli her türlü destek, imkânlar dâhilinde sağlanmaktadır [3_OD3].</w:t>
      </w:r>
    </w:p>
    <w:p w14:paraId="224DAB38" w14:textId="77777777" w:rsidR="003F2E19" w:rsidRDefault="003F2E19" w:rsidP="003F2E19">
      <w:pPr>
        <w:pStyle w:val="NormalWeb"/>
        <w:ind w:left="426"/>
      </w:pPr>
      <w:r>
        <w:rPr>
          <w:rStyle w:val="Strong"/>
        </w:rPr>
        <w:t>Kanıt</w:t>
      </w:r>
    </w:p>
    <w:p w14:paraId="18AE4402" w14:textId="77777777" w:rsidR="00F30AD2" w:rsidRDefault="003F2E19" w:rsidP="003F2E19">
      <w:pPr>
        <w:pStyle w:val="NormalWeb"/>
        <w:ind w:left="426"/>
        <w:jc w:val="both"/>
      </w:pPr>
      <w:r>
        <w:lastRenderedPageBreak/>
        <w:t>[3](3)B.1.6.engelli_ogrenciler_egitim_ogretim_ve_sinav_uygulama_esaslari</w:t>
      </w:r>
    </w:p>
    <w:p w14:paraId="7073D132" w14:textId="77777777" w:rsidR="003F2E19" w:rsidRDefault="003F2E19" w:rsidP="003F2E19">
      <w:pPr>
        <w:pStyle w:val="NormalWeb"/>
        <w:ind w:left="709"/>
        <w:jc w:val="both"/>
        <w:rPr>
          <w:sz w:val="21"/>
          <w:szCs w:val="21"/>
        </w:rPr>
      </w:pPr>
      <w:r>
        <w:rPr>
          <w:b/>
          <w:bCs/>
          <w:sz w:val="21"/>
          <w:szCs w:val="21"/>
        </w:rPr>
        <w:t>Olgunluk Değeri 3 :</w:t>
      </w:r>
      <w:r>
        <w:rPr>
          <w:sz w:val="21"/>
          <w:szCs w:val="21"/>
        </w:rPr>
        <w:t xml:space="preserve"> Kurumun genelinde öğrenme kaynaklarının yönetimi alana özgü koşullar, erişilebilirlik ve birimler arası denge gözetilerek gerçekleştirilmektedir.</w:t>
      </w:r>
    </w:p>
    <w:p w14:paraId="262D6E84" w14:textId="77777777" w:rsidR="003F2E19" w:rsidRDefault="00902279" w:rsidP="00902279">
      <w:pPr>
        <w:pStyle w:val="NormalWeb"/>
        <w:ind w:left="709"/>
        <w:jc w:val="both"/>
        <w:rPr>
          <w:b/>
          <w:bCs/>
        </w:rPr>
      </w:pPr>
      <w:r w:rsidRPr="00902279">
        <w:rPr>
          <w:b/>
          <w:bCs/>
        </w:rPr>
        <w:t>B.3.2. Akademik destek hizmetleri</w:t>
      </w:r>
    </w:p>
    <w:p w14:paraId="37F58177" w14:textId="10E1BE2E" w:rsidR="00902279" w:rsidRDefault="00902279" w:rsidP="00902279">
      <w:pPr>
        <w:pStyle w:val="NormalWeb"/>
        <w:ind w:left="426"/>
        <w:jc w:val="both"/>
      </w:pPr>
      <w:r>
        <w:t xml:space="preserve">Birimimize kayıtlı tüm öğrencilerimizin istek, ihtiyaç ve problemlerini danışabileceği bir akademik danışmanı bulunmaktadır. Danışman, öğrenciye seçeceği dersler konusunda yardımcı olur ve programı tamamlaması için gerekli akademik planı oluşturmasında yol gösterir. Danışman, ayrıca öğrenciye yüksekokul politikası, kuralları, Yüksekokulda açılmış programlar, kariyer fırsatları vb. konularda da rehberlik eder. Danışmanlar, müdürlük tarafından belirlenir ve OBS sisteminde hem öğrenci hem öğretim elemanlarının ekranlarında danışmanı oldukları öğrenciler ve danışman olan öğretim elemanı duyurulur. En az 2 dönem boyunca danışman aynı kalarak öğrencilerin gelişimine katkı sağlar. Öğrenciler, önceden belirlenmiş ofis saatlerinde kendi akademik danışmanlarıyla yüz yüze görüşebilmektedir. Öğrenciler, yine danışmanlarına OBS ve/veya e-posta yoluyla da ulaşabilmektedirler. Ayrıca öğrencilerimizin kariyer gelişimini izlemek ve kendilerine yardımcı olmak amacıyla birimimizin öğrenci alan her programında en az bir öğretim elemanımız kariyer danışmanı olarak görevlendirilmiştir </w:t>
      </w:r>
      <w:hyperlink r:id="rId28" w:history="1">
        <w:r>
          <w:rPr>
            <w:rStyle w:val="Hyperlink"/>
          </w:rPr>
          <w:t>(OD4)</w:t>
        </w:r>
      </w:hyperlink>
      <w:r>
        <w:t>.</w:t>
      </w:r>
    </w:p>
    <w:p w14:paraId="60747EF5" w14:textId="77777777" w:rsidR="00902279" w:rsidRDefault="00902279" w:rsidP="00902279">
      <w:pPr>
        <w:pStyle w:val="NormalWeb"/>
        <w:ind w:left="426"/>
        <w:jc w:val="both"/>
      </w:pPr>
      <w:r>
        <w:t>Kariyer danışmanı “Yetenek Kapısı Portalı” üzerinden öğrencilerin kariyer danışmanlığı ile ilgili randevu taleplerini yürütür. Akademik danışmanlar ile ilgili iletişim bilgileri öğrencilerin kullandığı Öğrenci Bilgi Sisteminde ve kurumsal web sitemizde bulunmaktadır.</w:t>
      </w:r>
    </w:p>
    <w:p w14:paraId="703756D7" w14:textId="77777777" w:rsidR="00902279" w:rsidRDefault="00902279" w:rsidP="00902279">
      <w:pPr>
        <w:pStyle w:val="NormalWeb"/>
        <w:ind w:left="426"/>
        <w:jc w:val="both"/>
      </w:pPr>
      <w:r>
        <w:t>Öğrencilerin karar alma mekanizmalarına daha aktif katılımlarını sağlamak amacı ile birimimizde istek öneri ve şikâyet kutuları yerleştirilmiştir. Öğrencilerin ders içinde derse katılımları, verilen ödevlerin sunulması gibi bazı akademik faaliyetlere de katılması sağlanmaktadır. Ayrıca yüksekokul öğrenci temsilcisi, bölüm temsilcisi, kulüp başkanları ve üyelerinin uygulanan kalite süreçlerine öğrencilerin katılımının artırılması sağlanmaktadır [2_OD4].</w:t>
      </w:r>
    </w:p>
    <w:p w14:paraId="160B6E25" w14:textId="77777777" w:rsidR="00902279" w:rsidRDefault="00902279" w:rsidP="00902279">
      <w:pPr>
        <w:pStyle w:val="NormalWeb"/>
        <w:ind w:left="426"/>
      </w:pPr>
      <w:r>
        <w:rPr>
          <w:rStyle w:val="Strong"/>
        </w:rPr>
        <w:t>Kanıt</w:t>
      </w:r>
    </w:p>
    <w:p w14:paraId="4F8D349E" w14:textId="77777777" w:rsidR="00902279" w:rsidRDefault="00902279" w:rsidP="00902279">
      <w:pPr>
        <w:pStyle w:val="NormalWeb"/>
        <w:ind w:left="426"/>
        <w:jc w:val="both"/>
      </w:pPr>
      <w:r>
        <w:t>[2](4)B.3.2.kulup_kurma_dilekcesi</w:t>
      </w:r>
    </w:p>
    <w:p w14:paraId="77286D8F" w14:textId="77777777" w:rsidR="00902279" w:rsidRDefault="00902279" w:rsidP="00902279">
      <w:pPr>
        <w:pStyle w:val="NormalWeb"/>
        <w:ind w:left="709"/>
        <w:jc w:val="both"/>
        <w:rPr>
          <w:sz w:val="21"/>
          <w:szCs w:val="21"/>
        </w:rPr>
      </w:pPr>
      <w:r>
        <w:rPr>
          <w:b/>
          <w:bCs/>
          <w:sz w:val="21"/>
          <w:szCs w:val="21"/>
        </w:rPr>
        <w:t>Olgunluk Değeri 4 :</w:t>
      </w:r>
      <w:r>
        <w:rPr>
          <w:sz w:val="21"/>
          <w:szCs w:val="21"/>
        </w:rPr>
        <w:t xml:space="preserve"> Kurumda öğrencilerin akademik gelişimi ve kariyer planlamasına ilişkin uygulamalar izlenmekte ve öğrencilerin katılımıyla iyileştirilmektedir.</w:t>
      </w:r>
    </w:p>
    <w:p w14:paraId="64FFF0D2" w14:textId="77777777" w:rsidR="00902279" w:rsidRDefault="00A952AA" w:rsidP="00A952AA">
      <w:pPr>
        <w:pStyle w:val="NormalWeb"/>
        <w:ind w:left="709"/>
        <w:jc w:val="both"/>
        <w:rPr>
          <w:b/>
          <w:bCs/>
        </w:rPr>
      </w:pPr>
      <w:r w:rsidRPr="00A952AA">
        <w:rPr>
          <w:b/>
          <w:bCs/>
        </w:rPr>
        <w:t>B.3.3. Tesis ve altyapılar</w:t>
      </w:r>
    </w:p>
    <w:p w14:paraId="49C69B74" w14:textId="77777777" w:rsidR="00A952AA" w:rsidRDefault="00A952AA" w:rsidP="00A952AA">
      <w:pPr>
        <w:pStyle w:val="NormalWeb"/>
        <w:ind w:left="426"/>
        <w:jc w:val="both"/>
      </w:pPr>
      <w:r>
        <w:t>Bu raporun B.3.1. kısmında yüksekokulumuzun mevcut öğrenme kaynak ve imkanlarından (internet, kablosuz internet erişimi, kütüphane, laboratuvar, atölye vb.) bahsedilmiştir. Birimimiz öğrencilerine yönelik yemekhane ve kantin hizmetleri Sağlık Kültür ve Spor (SKS) Dairesi Başkanlığı tarafından yürütülmektedir. Ancak özellikle yemekhanenin fiziksel imkânlarının yetersizliği her sene öğrenciler ve akademik personel tarafından şikâyet edilmektedir. Buna bağlı olarak birim belli periyotlarla bu durumu üst mercilere bildirmekte, imkânı ölçüsünde de yerel birimlerle bağlantı halinde kalarak bu sorunu çözmeye çabalamaktadır.</w:t>
      </w:r>
    </w:p>
    <w:p w14:paraId="634691F2" w14:textId="77777777" w:rsidR="00A952AA" w:rsidRDefault="00A952AA" w:rsidP="00A952AA">
      <w:pPr>
        <w:pStyle w:val="NormalWeb"/>
        <w:ind w:left="426"/>
        <w:jc w:val="both"/>
      </w:pPr>
      <w:r>
        <w:t xml:space="preserve">Bununla birlikte öğrencilerimizin barınma ihtiyaçlarını karşılayacakları Kredi Yurtlar Kurumu Müdürlüğüne bağlı herhangi bir yurt bulunmamakta, yalnızca özel kurumlara </w:t>
      </w:r>
      <w:r>
        <w:lastRenderedPageBreak/>
        <w:t>bağlı yurtlarda kalabilmektedirler. Bu konu ile ilgili yetkili merciler ile iletişime geçilmiştir.</w:t>
      </w:r>
    </w:p>
    <w:p w14:paraId="2559E4D5" w14:textId="77777777" w:rsidR="00A952AA" w:rsidRDefault="00A952AA" w:rsidP="00A952AA">
      <w:pPr>
        <w:pStyle w:val="NormalWeb"/>
        <w:ind w:left="709"/>
        <w:jc w:val="both"/>
        <w:rPr>
          <w:sz w:val="21"/>
          <w:szCs w:val="21"/>
        </w:rPr>
      </w:pPr>
      <w:r>
        <w:rPr>
          <w:b/>
          <w:bCs/>
          <w:sz w:val="21"/>
          <w:szCs w:val="21"/>
        </w:rPr>
        <w:t>Olgunluk Değeri 2 :</w:t>
      </w:r>
      <w:r>
        <w:rPr>
          <w:sz w:val="21"/>
          <w:szCs w:val="21"/>
        </w:rPr>
        <w:t xml:space="preserve"> Kurumda uygun nitelik ve nicelikte tesis ve altyapının (yemekhane, yurt, sağlık, kütüphane, ulaşım, bilgi ve iletişim altyapısı, uzaktan eğitim altyapısı vb.) kurulmasına ve kullanımına ilişkin planlamalar bulunmaktadır.</w:t>
      </w:r>
    </w:p>
    <w:p w14:paraId="04AC72C9" w14:textId="77777777" w:rsidR="00A952AA" w:rsidRDefault="00A952AA" w:rsidP="00A952AA">
      <w:pPr>
        <w:pStyle w:val="NormalWeb"/>
        <w:ind w:left="709"/>
        <w:jc w:val="both"/>
        <w:rPr>
          <w:b/>
          <w:bCs/>
        </w:rPr>
      </w:pPr>
      <w:r w:rsidRPr="00A952AA">
        <w:rPr>
          <w:b/>
          <w:bCs/>
        </w:rPr>
        <w:t>B.3.4. Dezavantajlı gruplar</w:t>
      </w:r>
    </w:p>
    <w:p w14:paraId="66BC2D5C" w14:textId="77777777" w:rsidR="00A952AA" w:rsidRDefault="00A952AA" w:rsidP="00A952AA">
      <w:pPr>
        <w:pStyle w:val="NormalWeb"/>
        <w:ind w:left="426"/>
        <w:jc w:val="both"/>
      </w:pPr>
      <w:r>
        <w:t xml:space="preserve">Birim olarak engelli öğrencilerin ders takibi ve sınavlarının daha sağlıklı bir ortamda gerçekleşebilmesi için Engelli Öğrenciler Birim Koordinatörlüğü’nün yönlendirmeleri doğrultusunda kişiye özel gerekli düzenlemeler yapılmaktadır </w:t>
      </w:r>
      <w:hyperlink r:id="rId29" w:history="1">
        <w:r>
          <w:rPr>
            <w:rStyle w:val="Hyperlink"/>
          </w:rPr>
          <w:t>(OD5)</w:t>
        </w:r>
      </w:hyperlink>
      <w:r>
        <w:t xml:space="preserve">. Engelsiz eğitim öğretimin sağlanması amacıyla üniversitemizin “Engelli Öğrenciler Eğitim-Öğretim ve Sınav Uygulama Esasları” kullanılmaktadır </w:t>
      </w:r>
      <w:hyperlink r:id="rId30" w:history="1">
        <w:r>
          <w:rPr>
            <w:rStyle w:val="Hyperlink"/>
          </w:rPr>
          <w:t>(OD5)</w:t>
        </w:r>
      </w:hyperlink>
      <w:r>
        <w:t>. Ayrıca birimimizde engelli koordinatörü olarak görevlendirilmiş bir akademik personel de bulunmaktadır [3_OD5).</w:t>
      </w:r>
    </w:p>
    <w:p w14:paraId="5C24FFEE" w14:textId="77777777" w:rsidR="00A952AA" w:rsidRPr="00A952AA" w:rsidRDefault="00A952AA" w:rsidP="00A952AA">
      <w:pPr>
        <w:pStyle w:val="NormalWeb"/>
        <w:ind w:left="426"/>
        <w:rPr>
          <w:b/>
        </w:rPr>
      </w:pPr>
      <w:r>
        <w:t> </w:t>
      </w:r>
      <w:r w:rsidRPr="00A952AA">
        <w:rPr>
          <w:b/>
        </w:rPr>
        <w:t>Kanıt</w:t>
      </w:r>
    </w:p>
    <w:p w14:paraId="127B41AE" w14:textId="77777777" w:rsidR="00A952AA" w:rsidRDefault="00A952AA" w:rsidP="00A952AA">
      <w:pPr>
        <w:pStyle w:val="NormalWeb"/>
        <w:ind w:left="426"/>
        <w:jc w:val="both"/>
      </w:pPr>
      <w:r>
        <w:t>[3](5)B.3.4.engelli_ogrenci_birim_temsilcisi_gorevlendirme_yazisi</w:t>
      </w:r>
    </w:p>
    <w:p w14:paraId="1D935920" w14:textId="77777777" w:rsidR="00A952AA" w:rsidRDefault="00FD4CCA" w:rsidP="00FD4CCA">
      <w:pPr>
        <w:pStyle w:val="NormalWeb"/>
        <w:ind w:left="709"/>
        <w:jc w:val="both"/>
        <w:rPr>
          <w:sz w:val="21"/>
          <w:szCs w:val="21"/>
        </w:rPr>
      </w:pPr>
      <w:r>
        <w:rPr>
          <w:b/>
          <w:bCs/>
          <w:sz w:val="21"/>
          <w:szCs w:val="21"/>
        </w:rPr>
        <w:t>Olgunluk Değeri 5 :</w:t>
      </w:r>
      <w:r>
        <w:rPr>
          <w:sz w:val="21"/>
          <w:szCs w:val="21"/>
        </w:rPr>
        <w:t xml:space="preserve"> İçselleştirilmiş, sistematik, sürdürülebilir ve örnek gösterilebilir uygulamalar bulunmaktadır.</w:t>
      </w:r>
    </w:p>
    <w:p w14:paraId="38CEDAD8" w14:textId="77777777" w:rsidR="00FD4CCA" w:rsidRDefault="00FD4CCA" w:rsidP="00FD4CCA">
      <w:pPr>
        <w:pStyle w:val="NormalWeb"/>
        <w:ind w:left="709"/>
        <w:jc w:val="both"/>
        <w:rPr>
          <w:b/>
          <w:bCs/>
        </w:rPr>
      </w:pPr>
      <w:r w:rsidRPr="00FD4CCA">
        <w:rPr>
          <w:b/>
          <w:bCs/>
        </w:rPr>
        <w:t>B.3.5. Sosyal, kültürel, sportif faaliyetler</w:t>
      </w:r>
    </w:p>
    <w:p w14:paraId="72AE6F7A" w14:textId="77777777" w:rsidR="00FD4CCA" w:rsidRDefault="00FD4CCA" w:rsidP="00FD4CCA">
      <w:pPr>
        <w:pStyle w:val="NormalWeb"/>
        <w:ind w:left="426"/>
      </w:pPr>
      <w:r>
        <w:t>2024 yılında birimimizin dış ve iç paydaşlar ile gerçekleştirdiği etkinlikler şöyledir: </w:t>
      </w:r>
    </w:p>
    <w:p w14:paraId="28F78173" w14:textId="20B9142A" w:rsidR="00FD4CCA" w:rsidRDefault="00FD4CCA" w:rsidP="00FD4CCA">
      <w:pPr>
        <w:numPr>
          <w:ilvl w:val="0"/>
          <w:numId w:val="5"/>
        </w:numPr>
        <w:spacing w:before="100" w:beforeAutospacing="1" w:after="100" w:afterAutospacing="1"/>
        <w:jc w:val="both"/>
        <w:rPr>
          <w:rFonts w:eastAsia="Times New Roman"/>
        </w:rPr>
      </w:pPr>
      <w:r>
        <w:rPr>
          <w:rFonts w:eastAsia="Times New Roman"/>
        </w:rPr>
        <w:t>2024-2025 Eğitim Öğretim Yılında Üniversitemize ilk kez yerleşen öğrencilere yönelik oryantasyon programı 17 Ekim 2024 tarihinde  Üniversitemiz içerisindeki çeşitli idari ve akademik birimlerden gelen personellerimiz tarafından gerçekleştirildi </w:t>
      </w:r>
      <w:hyperlink r:id="rId31" w:history="1">
        <w:r>
          <w:rPr>
            <w:rStyle w:val="Hyperlink"/>
            <w:rFonts w:eastAsia="Times New Roman"/>
          </w:rPr>
          <w:t>(OD4)</w:t>
        </w:r>
      </w:hyperlink>
    </w:p>
    <w:p w14:paraId="3A2DE26F" w14:textId="3B580B5E" w:rsidR="00FD4CCA" w:rsidRDefault="00FD4CCA" w:rsidP="00FD4CCA">
      <w:pPr>
        <w:numPr>
          <w:ilvl w:val="0"/>
          <w:numId w:val="5"/>
        </w:numPr>
        <w:spacing w:before="100" w:beforeAutospacing="1" w:after="100" w:afterAutospacing="1"/>
        <w:jc w:val="both"/>
        <w:rPr>
          <w:rFonts w:eastAsia="Times New Roman"/>
        </w:rPr>
      </w:pPr>
      <w:r>
        <w:rPr>
          <w:rFonts w:eastAsia="Times New Roman"/>
        </w:rPr>
        <w:t xml:space="preserve">Lösev Fayda Projesi Farkındalık Semineri 8 Mayıs 2024 Çarşamba günü saat 11.15-12.00'da Bozüyük Meslek Yuksekokulu Konferans Salonunda gerçekleştirilmiştir </w:t>
      </w:r>
      <w:hyperlink r:id="rId32" w:history="1">
        <w:r>
          <w:rPr>
            <w:rStyle w:val="Hyperlink"/>
            <w:rFonts w:eastAsia="Times New Roman"/>
          </w:rPr>
          <w:t>(OD4)</w:t>
        </w:r>
      </w:hyperlink>
      <w:r>
        <w:rPr>
          <w:rFonts w:eastAsia="Times New Roman"/>
        </w:rPr>
        <w:t>.</w:t>
      </w:r>
    </w:p>
    <w:p w14:paraId="0D548502" w14:textId="6C341EFD" w:rsidR="00FD4CCA" w:rsidRDefault="00FD4CCA" w:rsidP="00FD4CCA">
      <w:pPr>
        <w:numPr>
          <w:ilvl w:val="0"/>
          <w:numId w:val="5"/>
        </w:numPr>
        <w:spacing w:before="100" w:beforeAutospacing="1" w:after="100" w:afterAutospacing="1"/>
        <w:jc w:val="both"/>
        <w:rPr>
          <w:rFonts w:eastAsia="Times New Roman"/>
        </w:rPr>
      </w:pPr>
      <w:r>
        <w:rPr>
          <w:rFonts w:eastAsia="Times New Roman"/>
        </w:rPr>
        <w:t xml:space="preserve">05 Kasım 2024 tarihinde Gençlik ve Spor İlçe Müdürlüğü ile birlikte Yüksekokulumuzda “Kültür Buluşması” etkinliği düzenlendi </w:t>
      </w:r>
      <w:hyperlink r:id="rId33" w:history="1">
        <w:r>
          <w:rPr>
            <w:rStyle w:val="Hyperlink"/>
            <w:rFonts w:eastAsia="Times New Roman"/>
          </w:rPr>
          <w:t>(OD4)</w:t>
        </w:r>
      </w:hyperlink>
    </w:p>
    <w:p w14:paraId="7E7F588B" w14:textId="197E2BE4" w:rsidR="00FD4CCA" w:rsidRDefault="00FD4CCA" w:rsidP="00FD4CCA">
      <w:pPr>
        <w:numPr>
          <w:ilvl w:val="0"/>
          <w:numId w:val="5"/>
        </w:numPr>
        <w:spacing w:before="100" w:beforeAutospacing="1" w:after="100" w:afterAutospacing="1"/>
        <w:jc w:val="both"/>
        <w:rPr>
          <w:rFonts w:eastAsia="Times New Roman"/>
        </w:rPr>
      </w:pPr>
      <w:r>
        <w:rPr>
          <w:rFonts w:eastAsia="Times New Roman"/>
        </w:rPr>
        <w:t xml:space="preserve">31 Ekim 2024 tarihinde dış paydaşlardan Bankacı Hümeyra Koru tarafından bankacılık ve sigortacılık programı öğrencilerine “Temel Bankacılık ve Yaşanmış Olaylarla Operasyon Risk Eğitimi” eğitimi verildi </w:t>
      </w:r>
      <w:hyperlink r:id="rId34" w:history="1">
        <w:r>
          <w:rPr>
            <w:rStyle w:val="Hyperlink"/>
            <w:rFonts w:eastAsia="Times New Roman"/>
          </w:rPr>
          <w:t>(OD4)</w:t>
        </w:r>
      </w:hyperlink>
    </w:p>
    <w:p w14:paraId="7674BCE3" w14:textId="7F1366DF" w:rsidR="00FD4CCA" w:rsidRDefault="00FD4CCA" w:rsidP="00FD4CCA">
      <w:pPr>
        <w:numPr>
          <w:ilvl w:val="0"/>
          <w:numId w:val="5"/>
        </w:numPr>
        <w:spacing w:before="100" w:beforeAutospacing="1" w:after="100" w:afterAutospacing="1"/>
        <w:jc w:val="both"/>
        <w:rPr>
          <w:rFonts w:eastAsia="Times New Roman"/>
        </w:rPr>
      </w:pPr>
      <w:r>
        <w:rPr>
          <w:rFonts w:eastAsia="Times New Roman"/>
        </w:rPr>
        <w:t xml:space="preserve">24 Ekim 2024 tarihinde Yüksekokulumuzda  Türkiye Ekonomi Bankası (TEB) Aile Akademisi Eğitmeni Nevben SOLMAZ tarafından  "Finansal Okuryazarlık Eğitimi" etkinliği gerçekleştirildi </w:t>
      </w:r>
      <w:hyperlink r:id="rId35" w:history="1">
        <w:r>
          <w:rPr>
            <w:rStyle w:val="Hyperlink"/>
            <w:rFonts w:eastAsia="Times New Roman"/>
          </w:rPr>
          <w:t>(OD4)</w:t>
        </w:r>
      </w:hyperlink>
      <w:r>
        <w:rPr>
          <w:rFonts w:eastAsia="Times New Roman"/>
        </w:rPr>
        <w:t>.</w:t>
      </w:r>
    </w:p>
    <w:p w14:paraId="777F3BFC" w14:textId="718CCB81" w:rsidR="00FD4CCA" w:rsidRDefault="00FD4CCA" w:rsidP="00FD4CCA">
      <w:pPr>
        <w:numPr>
          <w:ilvl w:val="0"/>
          <w:numId w:val="5"/>
        </w:numPr>
        <w:spacing w:before="100" w:beforeAutospacing="1" w:after="100" w:afterAutospacing="1"/>
        <w:jc w:val="both"/>
        <w:rPr>
          <w:rFonts w:eastAsia="Times New Roman"/>
        </w:rPr>
      </w:pPr>
      <w:r>
        <w:rPr>
          <w:rFonts w:eastAsia="Times New Roman"/>
        </w:rPr>
        <w:t xml:space="preserve">05 Haziran 2024 tarihinde Grafik Tasarımı Programı Bozüyük Mimar Sinan Mesleki ve Teknik Anadolu Lisesi Grafik ve Fotoğraf Alanında eğitim gören 10 ve 11'inci sınıf öğrencileriyle bir araya gelerek bilgi alışverişinde bulundu . </w:t>
      </w:r>
      <w:hyperlink r:id="rId36" w:history="1">
        <w:r>
          <w:rPr>
            <w:rStyle w:val="Hyperlink"/>
            <w:rFonts w:eastAsia="Times New Roman"/>
          </w:rPr>
          <w:t>(OD4)</w:t>
        </w:r>
      </w:hyperlink>
    </w:p>
    <w:p w14:paraId="672D258F" w14:textId="367CBBE5" w:rsidR="00FD4CCA" w:rsidRDefault="00FD4CCA" w:rsidP="00FD4CCA">
      <w:pPr>
        <w:numPr>
          <w:ilvl w:val="0"/>
          <w:numId w:val="5"/>
        </w:numPr>
        <w:spacing w:before="100" w:beforeAutospacing="1" w:after="100" w:afterAutospacing="1"/>
        <w:jc w:val="both"/>
        <w:rPr>
          <w:rFonts w:eastAsia="Times New Roman"/>
        </w:rPr>
      </w:pPr>
      <w:r>
        <w:rPr>
          <w:rFonts w:eastAsia="Times New Roman"/>
        </w:rPr>
        <w:t xml:space="preserve">4. Uluslararası Bankacılık Kongresi Meslek Yüksekokulumuz ev sahipliğinde Finans, Bankacılık ve Sigortacılık Bölüm Başkanlığı tarafından  16-18 Mayıs 2024 tarihleri arasında Bozüyük'te gerçekleştirildi </w:t>
      </w:r>
      <w:hyperlink r:id="rId37" w:history="1">
        <w:r>
          <w:rPr>
            <w:rStyle w:val="Hyperlink"/>
            <w:rFonts w:eastAsia="Times New Roman"/>
          </w:rPr>
          <w:t>(OD4)</w:t>
        </w:r>
      </w:hyperlink>
    </w:p>
    <w:p w14:paraId="4A06D842" w14:textId="77777777" w:rsidR="00FD4CCA" w:rsidRDefault="00FD4CCA" w:rsidP="00FD4CCA">
      <w:pPr>
        <w:numPr>
          <w:ilvl w:val="0"/>
          <w:numId w:val="5"/>
        </w:numPr>
        <w:spacing w:before="100" w:beforeAutospacing="1" w:after="100" w:afterAutospacing="1"/>
        <w:jc w:val="both"/>
        <w:rPr>
          <w:rFonts w:eastAsia="Times New Roman"/>
        </w:rPr>
      </w:pPr>
      <w:r>
        <w:rPr>
          <w:rFonts w:eastAsia="Times New Roman"/>
        </w:rPr>
        <w:t>Grafik Tasarımı Programı  öğrencilerinin  19 Mayıs Atatürk'ü Anma Gençlik ve Spor Bayramı Afiş Tasarımı Sergisi 22-28 Mayıs 2024 tarihlerinde Bozüyük Sarar Alışveriş Merkezinde gerçekleştirildi [8_OD4].</w:t>
      </w:r>
    </w:p>
    <w:p w14:paraId="03A338BE" w14:textId="77777777" w:rsidR="00FD4CCA" w:rsidRDefault="00FD4CCA" w:rsidP="00FD4CCA">
      <w:pPr>
        <w:numPr>
          <w:ilvl w:val="0"/>
          <w:numId w:val="5"/>
        </w:numPr>
        <w:spacing w:before="100" w:beforeAutospacing="1" w:after="100" w:afterAutospacing="1"/>
        <w:jc w:val="both"/>
        <w:rPr>
          <w:rFonts w:eastAsia="Times New Roman"/>
        </w:rPr>
      </w:pPr>
      <w:r>
        <w:rPr>
          <w:rFonts w:eastAsia="Times New Roman"/>
        </w:rPr>
        <w:t xml:space="preserve">Grafik Tasarım Programı 27Mayıs 2024 tarihinde “Matbaa Teknik Gezilerini” gerçekleştirdi </w:t>
      </w:r>
      <w:hyperlink r:id="rId38" w:history="1">
        <w:r>
          <w:rPr>
            <w:rStyle w:val="Hyperlink"/>
            <w:rFonts w:eastAsia="Times New Roman"/>
          </w:rPr>
          <w:t>(OD4)</w:t>
        </w:r>
      </w:hyperlink>
      <w:r>
        <w:rPr>
          <w:rFonts w:eastAsia="Times New Roman"/>
        </w:rPr>
        <w:t>.</w:t>
      </w:r>
    </w:p>
    <w:p w14:paraId="27C47F8E" w14:textId="77777777" w:rsidR="00FD4CCA" w:rsidRDefault="00FD4CCA" w:rsidP="00FD4CCA">
      <w:pPr>
        <w:numPr>
          <w:ilvl w:val="0"/>
          <w:numId w:val="5"/>
        </w:numPr>
        <w:spacing w:before="100" w:beforeAutospacing="1" w:after="100" w:afterAutospacing="1"/>
        <w:jc w:val="both"/>
        <w:rPr>
          <w:rFonts w:eastAsia="Times New Roman"/>
        </w:rPr>
      </w:pPr>
      <w:r>
        <w:rPr>
          <w:rFonts w:eastAsia="Times New Roman"/>
        </w:rPr>
        <w:lastRenderedPageBreak/>
        <w:t>Grafik Tasarım Proje" dersi kapsamında hazırlanan "Kurumsal Kimlik" adlı sergi 08-15 Ocak 2024 tarihleri arasında Yüksekokulumuzda gerçekleşmiştir [10_OD4].</w:t>
      </w:r>
    </w:p>
    <w:p w14:paraId="385E3CB5" w14:textId="77777777" w:rsidR="00FD4CCA" w:rsidRDefault="00FD4CCA" w:rsidP="00FD4CCA">
      <w:pPr>
        <w:numPr>
          <w:ilvl w:val="0"/>
          <w:numId w:val="5"/>
        </w:numPr>
        <w:spacing w:before="100" w:beforeAutospacing="1" w:after="100" w:afterAutospacing="1"/>
        <w:jc w:val="both"/>
        <w:rPr>
          <w:rFonts w:eastAsia="Times New Roman"/>
        </w:rPr>
      </w:pPr>
      <w:r>
        <w:rPr>
          <w:rFonts w:eastAsia="Times New Roman"/>
        </w:rPr>
        <w:t>Özgün Baskı Resim dersi kapsamında hazırlanan "Linol Baskı" Sergisinin 10.06.2024-11.06.2024 tarihleri arasında Yüksekokulumuzda gerçekleştirilmiştir [11_OD4]</w:t>
      </w:r>
    </w:p>
    <w:p w14:paraId="124BC898" w14:textId="77777777" w:rsidR="00FD4CCA" w:rsidRDefault="00FD4CCA" w:rsidP="00FD4CCA">
      <w:pPr>
        <w:pStyle w:val="NormalWeb"/>
        <w:ind w:left="426"/>
      </w:pPr>
      <w:r>
        <w:rPr>
          <w:rStyle w:val="Strong"/>
        </w:rPr>
        <w:t>Kanıt</w:t>
      </w:r>
    </w:p>
    <w:p w14:paraId="005B24B9" w14:textId="77777777" w:rsidR="00FD4CCA" w:rsidRDefault="00FD4CCA" w:rsidP="00FD4CCA">
      <w:pPr>
        <w:pStyle w:val="NormalWeb"/>
        <w:ind w:left="426"/>
      </w:pPr>
      <w:r>
        <w:t>[8](4)B.3.5.19_mayis_afisleri_sergisi</w:t>
      </w:r>
    </w:p>
    <w:p w14:paraId="439C74D8" w14:textId="77777777" w:rsidR="00FD4CCA" w:rsidRDefault="00FD4CCA" w:rsidP="00FD4CCA">
      <w:pPr>
        <w:pStyle w:val="NormalWeb"/>
        <w:ind w:left="426"/>
      </w:pPr>
      <w:r>
        <w:t>[10](4)B.3.5.kurumsal_kimlik_sergisi</w:t>
      </w:r>
    </w:p>
    <w:p w14:paraId="643B5FAE" w14:textId="77777777" w:rsidR="00FD4CCA" w:rsidRDefault="00FD4CCA" w:rsidP="00FD4CCA">
      <w:pPr>
        <w:pStyle w:val="NormalWeb"/>
        <w:ind w:left="426"/>
        <w:jc w:val="both"/>
      </w:pPr>
      <w:r>
        <w:t>[11](4)B.3.5.linol_baski_sergisi</w:t>
      </w:r>
    </w:p>
    <w:p w14:paraId="54D27CF0" w14:textId="77777777" w:rsidR="00FD4CCA" w:rsidRDefault="00FD4CCA" w:rsidP="00FD4CCA">
      <w:pPr>
        <w:pStyle w:val="NormalWeb"/>
        <w:ind w:left="709"/>
        <w:jc w:val="both"/>
        <w:rPr>
          <w:sz w:val="21"/>
          <w:szCs w:val="21"/>
        </w:rPr>
      </w:pPr>
      <w:r>
        <w:rPr>
          <w:b/>
          <w:bCs/>
          <w:sz w:val="21"/>
          <w:szCs w:val="21"/>
        </w:rPr>
        <w:t>Olgunluk Değeri 4 :</w:t>
      </w:r>
      <w:r>
        <w:rPr>
          <w:sz w:val="21"/>
          <w:szCs w:val="21"/>
        </w:rPr>
        <w:t xml:space="preserve"> Sosyal, kültürel ve sportif faaliyet mekanizmaları izlenmekte, Ihtiyaçlar/talepler doğrultusunda faaliyetler çeşitlendirilmekte ve iyileştirilmektedir.</w:t>
      </w:r>
    </w:p>
    <w:p w14:paraId="2A0FDE27" w14:textId="77777777" w:rsidR="00CF2877" w:rsidRDefault="00CF2877" w:rsidP="00FD4CCA">
      <w:pPr>
        <w:pStyle w:val="NormalWeb"/>
        <w:ind w:left="426"/>
        <w:jc w:val="both"/>
        <w:rPr>
          <w:b/>
          <w:bCs/>
        </w:rPr>
      </w:pPr>
    </w:p>
    <w:p w14:paraId="3DCA4546" w14:textId="77777777" w:rsidR="00FD4CCA" w:rsidRDefault="00447332" w:rsidP="00FD4CCA">
      <w:pPr>
        <w:pStyle w:val="NormalWeb"/>
        <w:ind w:left="426"/>
        <w:jc w:val="both"/>
        <w:rPr>
          <w:b/>
          <w:bCs/>
        </w:rPr>
      </w:pPr>
      <w:r w:rsidRPr="00447332">
        <w:rPr>
          <w:b/>
          <w:bCs/>
        </w:rPr>
        <w:t>B.4. Öğretim Kadrosu</w:t>
      </w:r>
    </w:p>
    <w:p w14:paraId="13D076BC" w14:textId="77777777" w:rsidR="00447332" w:rsidRDefault="00447332" w:rsidP="00447332">
      <w:pPr>
        <w:pStyle w:val="NormalWeb"/>
        <w:ind w:left="709"/>
        <w:jc w:val="both"/>
        <w:rPr>
          <w:b/>
          <w:bCs/>
        </w:rPr>
      </w:pPr>
      <w:r w:rsidRPr="00447332">
        <w:rPr>
          <w:b/>
          <w:bCs/>
        </w:rPr>
        <w:t>B.4.1. Atama, yükseltme ve görevlendirme kriterleri</w:t>
      </w:r>
    </w:p>
    <w:p w14:paraId="3F67B7C7" w14:textId="77777777" w:rsidR="00447332" w:rsidRDefault="00447332" w:rsidP="00447332">
      <w:pPr>
        <w:pStyle w:val="NormalWeb"/>
        <w:jc w:val="both"/>
      </w:pPr>
      <w:r>
        <w:t>Programlarımızda açılan dersler bölüm başkanlığınca, bölümdeki öğretim elemanlarının uzmanlık alanları dikkate alınarak belirlenir ve ders programları hazırlanmadan ilgili akademik yarıyılda açılacak dersler önceden EBYS üzerinden Müdürlüğe iletilir. Ders programları, ilgili öğretim elemanlarının uzmanlık alanlarının vereceği derslerle uygun olmasına özen gösterilerek hazırlanır ve dersler, bölümde oy birliği ile öğretim elemanlarına atanır. Ayrıca öğretim elemanları kendi bölümü dışındaki bölümlerde de ders verdiğinden, program hazırlama süreci birimdeki tüm bölüm başkanlıklarının bir araya gelmesiyle gerçekleştirilir [1_OD4]. Müdürlük yönetim kurulu toplantısında olumlu yönde karar aldığında ilgili dersler öğretim elemanları üzerine tanımlanır.</w:t>
      </w:r>
    </w:p>
    <w:p w14:paraId="090230F4" w14:textId="77777777" w:rsidR="00447332" w:rsidRDefault="00447332" w:rsidP="00447332">
      <w:pPr>
        <w:pStyle w:val="NormalWeb"/>
        <w:ind w:left="426"/>
      </w:pPr>
      <w:r>
        <w:rPr>
          <w:rStyle w:val="Strong"/>
        </w:rPr>
        <w:t>Kanıt</w:t>
      </w:r>
    </w:p>
    <w:p w14:paraId="341CA415" w14:textId="77777777" w:rsidR="00447332" w:rsidRDefault="00447332" w:rsidP="00447332">
      <w:pPr>
        <w:pStyle w:val="NormalWeb"/>
        <w:ind w:left="426"/>
        <w:jc w:val="both"/>
      </w:pPr>
      <w:r>
        <w:t>[1](4)B.4.1.ders_programi</w:t>
      </w:r>
      <w:r>
        <w:rPr>
          <w:i/>
          <w:iCs/>
        </w:rPr>
        <w:t>_</w:t>
      </w:r>
      <w:r>
        <w:t>hazirlik_yazisi</w:t>
      </w:r>
    </w:p>
    <w:p w14:paraId="49CF903F" w14:textId="77777777" w:rsidR="00447332" w:rsidRDefault="00447332" w:rsidP="00447332">
      <w:pPr>
        <w:pStyle w:val="NormalWeb"/>
        <w:ind w:left="709"/>
        <w:jc w:val="both"/>
        <w:rPr>
          <w:sz w:val="21"/>
          <w:szCs w:val="21"/>
        </w:rPr>
      </w:pPr>
      <w:r>
        <w:rPr>
          <w:b/>
          <w:bCs/>
          <w:sz w:val="21"/>
          <w:szCs w:val="21"/>
        </w:rPr>
        <w:t>Olgunluk Değeri 4 :</w:t>
      </w:r>
      <w:r>
        <w:rPr>
          <w:sz w:val="21"/>
          <w:szCs w:val="21"/>
        </w:rPr>
        <w:t xml:space="preserve"> Atama, yükseltme ve görevlendirme uygulamalarının sonuçları izlenmekte ve izlem sonuçları değerlendirilerek önlemler alınmaktadır.</w:t>
      </w:r>
    </w:p>
    <w:p w14:paraId="3ADD99D4" w14:textId="77777777" w:rsidR="00447332" w:rsidRDefault="00447332" w:rsidP="00447332">
      <w:pPr>
        <w:pStyle w:val="NormalWeb"/>
        <w:ind w:left="709"/>
        <w:jc w:val="both"/>
        <w:rPr>
          <w:b/>
          <w:bCs/>
        </w:rPr>
      </w:pPr>
      <w:r w:rsidRPr="00447332">
        <w:rPr>
          <w:b/>
          <w:bCs/>
        </w:rPr>
        <w:t>B.4.2. Öğretim yetkinlikleri ve gelişimi</w:t>
      </w:r>
    </w:p>
    <w:p w14:paraId="626324CB" w14:textId="77777777" w:rsidR="00447332" w:rsidRDefault="00447332" w:rsidP="00447332">
      <w:pPr>
        <w:pStyle w:val="NormalWeb"/>
        <w:ind w:left="426"/>
        <w:jc w:val="both"/>
      </w:pPr>
      <w:r>
        <w:t xml:space="preserve">BMYO ders görevlendirmelerinde eğitim-öğretim kadrosunun yetkinlikleri (çalışma alanı/akademik uzmanlık alanı vb.) ile ders içeriklerinin örtüşmesi ön planda tutulmaktadır. Bu bağlamda eğitim-öğretim kadrosunun lisans ve/veya lisansüstü çalışma alanları ve özgeçmişleri doğrultusunda ders planlaması yapılmaktadır. Öğretim elemanlarının birçoğu, Sosyal Bilimler ve Fen Bilimleri alanlarında doktora eğitimlerini tamamlamış veya devam etmektedir </w:t>
      </w:r>
      <w:hyperlink r:id="rId39" w:history="1">
        <w:r>
          <w:rPr>
            <w:rStyle w:val="Hyperlink"/>
          </w:rPr>
          <w:t>(OD4)</w:t>
        </w:r>
      </w:hyperlink>
      <w:r>
        <w:t>. Öğretim elemanlarının doktora eğitim süreçleri birim yönetimince desteklenmektedir.</w:t>
      </w:r>
    </w:p>
    <w:p w14:paraId="1087643A" w14:textId="77777777" w:rsidR="00447332" w:rsidRDefault="00447332" w:rsidP="00447332">
      <w:pPr>
        <w:pStyle w:val="NormalWeb"/>
        <w:ind w:left="426"/>
        <w:jc w:val="both"/>
      </w:pPr>
      <w:r>
        <w:t xml:space="preserve">Öğretim elemanlarının eğitsel performanslarının izlenmesi ve değerlendirilmesi amacıyla öğrenci memnuniyet anketleri düzenlenmekte ve kuruma raporlar düzenli olarak iletilmektedir. Birim bünyesinde yer alan akademik personelin yıl içerisinde sunduğu dersler, ders takip motivasyonları, öğrencilerin Yüksekokul Müdürlüğüne takip ettiği derslerle ilgili yazılı bildirimler, CİMER bildirimleri, dönem içinde sunulan dersler </w:t>
      </w:r>
      <w:r>
        <w:lastRenderedPageBreak/>
        <w:t xml:space="preserve">kapsamında gerçekleştirilen bilimsel ve sosyal etkinlikler, akademik yıl içinde katılım sağlanan bilimsel etkinlikler ve gerçekleştirilen akademik çalışmalar dikkate alınarak performans izleme ve değerlendirme süreci işletilmektedir </w:t>
      </w:r>
      <w:hyperlink r:id="rId40" w:history="1">
        <w:r>
          <w:rPr>
            <w:rStyle w:val="Hyperlink"/>
          </w:rPr>
          <w:t>(OD4)</w:t>
        </w:r>
      </w:hyperlink>
      <w:r>
        <w:t>.</w:t>
      </w:r>
    </w:p>
    <w:p w14:paraId="351CCECD" w14:textId="77777777" w:rsidR="00447332" w:rsidRDefault="00447332" w:rsidP="00447332">
      <w:pPr>
        <w:pStyle w:val="NormalWeb"/>
        <w:ind w:left="709"/>
        <w:jc w:val="both"/>
        <w:rPr>
          <w:sz w:val="21"/>
          <w:szCs w:val="21"/>
        </w:rPr>
      </w:pPr>
      <w:r>
        <w:rPr>
          <w:b/>
          <w:bCs/>
          <w:sz w:val="21"/>
          <w:szCs w:val="21"/>
        </w:rPr>
        <w:t>Olgunluk Değeri 4 :</w:t>
      </w:r>
      <w:r>
        <w:rPr>
          <w:sz w:val="21"/>
          <w:szCs w:val="21"/>
        </w:rPr>
        <w:t xml:space="preserve"> Öğretim yetkinliğini geliştirme uygulamalarından elde edilen bulgular izlenmekte ve izlem sonuçları öğretim elamanları ile birlikte irdelenerek önlemler alınmaktadır.</w:t>
      </w:r>
    </w:p>
    <w:p w14:paraId="2D365E1F" w14:textId="77777777" w:rsidR="00447332" w:rsidRPr="00810739" w:rsidRDefault="009F0D03" w:rsidP="009F0D03">
      <w:pPr>
        <w:pStyle w:val="NormalWeb"/>
        <w:ind w:left="709"/>
        <w:jc w:val="both"/>
        <w:rPr>
          <w:b/>
          <w:bCs/>
        </w:rPr>
      </w:pPr>
      <w:r w:rsidRPr="00810739">
        <w:rPr>
          <w:b/>
          <w:bCs/>
        </w:rPr>
        <w:t>B.4.3. Eğitim faaliyetlerine yönelik teşvik ve ödüllendirme</w:t>
      </w:r>
    </w:p>
    <w:p w14:paraId="19C5A853" w14:textId="77777777" w:rsidR="009F0D03" w:rsidRPr="009F0D03" w:rsidRDefault="009F0D03" w:rsidP="009F0D03">
      <w:pPr>
        <w:spacing w:before="100" w:beforeAutospacing="1" w:after="100" w:afterAutospacing="1"/>
        <w:ind w:left="426"/>
        <w:jc w:val="both"/>
      </w:pPr>
      <w:r w:rsidRPr="009F0D03">
        <w:t xml:space="preserve">Bilecik Şeyh Edebali Üniversitesi Bilimsel/Sanatsal Etkinliklere Katılımı Destekleme Yönergesi, Bilimsel Araştırma Projeleri Yönergesi doğrultusunda Birim öğretim elemanları desteklenmektedir </w:t>
      </w:r>
      <w:hyperlink r:id="rId41" w:history="1">
        <w:r w:rsidRPr="009F0D03">
          <w:rPr>
            <w:color w:val="0000FF"/>
            <w:u w:val="single"/>
          </w:rPr>
          <w:t>(OD4)</w:t>
        </w:r>
      </w:hyperlink>
      <w:r w:rsidRPr="009F0D03">
        <w:t xml:space="preserve"> </w:t>
      </w:r>
      <w:hyperlink r:id="rId42" w:history="1">
        <w:r w:rsidRPr="009F0D03">
          <w:rPr>
            <w:color w:val="0000FF"/>
            <w:u w:val="single"/>
          </w:rPr>
          <w:t>(OD4)</w:t>
        </w:r>
      </w:hyperlink>
      <w:r w:rsidRPr="009F0D03">
        <w:t xml:space="preserve">. Eğitim-öğretim kadrosunun mesleki gelişimlerini sürdürmek ve öğretim becerilerini iyileştirmek için; Yurt içi-yurt dışı kongre, sempozyum, çalıştay, kurs vb. etkinliklere katılım teşvik edilmektedir. Ayrıca Erasmus ders verme ve eğitim alma </w:t>
      </w:r>
      <w:r>
        <w:t xml:space="preserve">hareketlilikleri kapsamında akademik personelin </w:t>
      </w:r>
      <w:r w:rsidRPr="009F0D03">
        <w:t>akademik ve teknik personelin eğitim ve işbaşı deneyimi için kendilerine uygun fırsatlara ulaşmalarına yardımcı olunması amaçlanmaktadır [3_OD4].</w:t>
      </w:r>
    </w:p>
    <w:p w14:paraId="4ED7428E" w14:textId="01492F8D" w:rsidR="009F0D03" w:rsidRPr="009F0D03" w:rsidRDefault="009F0D03" w:rsidP="009F0D03">
      <w:pPr>
        <w:spacing w:before="100" w:beforeAutospacing="1" w:after="100" w:afterAutospacing="1"/>
        <w:ind w:left="426"/>
        <w:jc w:val="both"/>
      </w:pPr>
      <w:r w:rsidRPr="009F0D03">
        <w:t>Bunların yanında, akademisyenlerin bilimsel çalışmaları üz</w:t>
      </w:r>
      <w:r>
        <w:t xml:space="preserve">erinden yapılan puanlandırmalar Akademik </w:t>
      </w:r>
      <w:r w:rsidRPr="009F0D03">
        <w:t xml:space="preserve">Teşvik Ödeneği Uygulama Usul ve Esasları çerçevesinde Birim Akademik Teşvik Başvuru ve İnceleme Komisyonu tarafından incelenmekte ve değerlendirilmektedir Bu sayede akademik personelin bilimsel faaliyetler destelenmektedir </w:t>
      </w:r>
      <w:hyperlink r:id="rId43" w:history="1">
        <w:r w:rsidRPr="009F0D03">
          <w:rPr>
            <w:color w:val="0000FF"/>
            <w:u w:val="single"/>
          </w:rPr>
          <w:t>(OD4)</w:t>
        </w:r>
      </w:hyperlink>
      <w:r w:rsidRPr="009F0D03">
        <w:t>.</w:t>
      </w:r>
    </w:p>
    <w:p w14:paraId="33212996" w14:textId="77777777" w:rsidR="009F0D03" w:rsidRPr="009F0D03" w:rsidRDefault="009F0D03" w:rsidP="009F0D03">
      <w:pPr>
        <w:spacing w:before="100" w:beforeAutospacing="1" w:after="100" w:afterAutospacing="1"/>
        <w:ind w:left="426"/>
      </w:pPr>
      <w:r w:rsidRPr="009F0D03">
        <w:rPr>
          <w:b/>
          <w:bCs/>
        </w:rPr>
        <w:t>Kanıt</w:t>
      </w:r>
    </w:p>
    <w:p w14:paraId="1A453DD4" w14:textId="77777777" w:rsidR="009F0D03" w:rsidRDefault="009F0D03" w:rsidP="009F0D03">
      <w:pPr>
        <w:pStyle w:val="NormalWeb"/>
        <w:ind w:left="426"/>
        <w:jc w:val="both"/>
      </w:pPr>
      <w:r w:rsidRPr="009F0D03">
        <w:t>[3](4)B.4.3.erasmus_yazisi</w:t>
      </w:r>
    </w:p>
    <w:p w14:paraId="6D61BBCA" w14:textId="77777777" w:rsidR="009F0D03" w:rsidRDefault="009F0D03" w:rsidP="009F0D03">
      <w:pPr>
        <w:pStyle w:val="NormalWeb"/>
        <w:ind w:left="709"/>
        <w:jc w:val="both"/>
        <w:rPr>
          <w:sz w:val="21"/>
          <w:szCs w:val="21"/>
        </w:rPr>
      </w:pPr>
      <w:r>
        <w:rPr>
          <w:b/>
          <w:bCs/>
          <w:sz w:val="21"/>
          <w:szCs w:val="21"/>
        </w:rPr>
        <w:t>Olgunluk Değeri 4 :</w:t>
      </w:r>
      <w:r>
        <w:rPr>
          <w:sz w:val="21"/>
          <w:szCs w:val="21"/>
        </w:rPr>
        <w:t xml:space="preserve"> Teşvik ve ödül uygulamaları izlenmekte ve iyileştirilmektedir.</w:t>
      </w:r>
    </w:p>
    <w:p w14:paraId="596E230D" w14:textId="77777777" w:rsidR="009F0D03" w:rsidRDefault="009F0D03" w:rsidP="009F0D03">
      <w:pPr>
        <w:pStyle w:val="NormalWeb"/>
        <w:ind w:left="426"/>
        <w:jc w:val="both"/>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0D7F13" w14:paraId="47BEAA1A" w14:textId="77777777" w:rsidTr="00B65EBF">
        <w:trPr>
          <w:tblCellSpacing w:w="15" w:type="dxa"/>
        </w:trPr>
        <w:tc>
          <w:tcPr>
            <w:tcW w:w="0" w:type="auto"/>
            <w:vAlign w:val="center"/>
            <w:hideMark/>
          </w:tcPr>
          <w:p w14:paraId="71438E80" w14:textId="77777777" w:rsidR="000D7F13" w:rsidRDefault="000D7F13" w:rsidP="00B65EBF">
            <w:pPr>
              <w:pStyle w:val="Heading5"/>
              <w:rPr>
                <w:rFonts w:eastAsia="Times New Roman"/>
              </w:rPr>
            </w:pPr>
            <w:r>
              <w:rPr>
                <w:rFonts w:eastAsia="Times New Roman"/>
              </w:rPr>
              <w:t>C. ARAŞTIRMA VE GELİŞTİRME</w:t>
            </w:r>
          </w:p>
        </w:tc>
      </w:tr>
    </w:tbl>
    <w:p w14:paraId="78908CF8" w14:textId="77777777" w:rsidR="000D7F13" w:rsidRDefault="000D7F13" w:rsidP="000D7F13">
      <w:pPr>
        <w:rPr>
          <w:rFonts w:eastAsia="Times New Roman"/>
          <w:vanish/>
        </w:rPr>
      </w:pPr>
    </w:p>
    <w:tbl>
      <w:tblPr>
        <w:tblW w:w="5000" w:type="pct"/>
        <w:tblCellSpacing w:w="15" w:type="dxa"/>
        <w:tblInd w:w="-239" w:type="dxa"/>
        <w:tblCellMar>
          <w:top w:w="15" w:type="dxa"/>
          <w:left w:w="15" w:type="dxa"/>
          <w:bottom w:w="15" w:type="dxa"/>
          <w:right w:w="15" w:type="dxa"/>
        </w:tblCellMar>
        <w:tblLook w:val="04A0" w:firstRow="1" w:lastRow="0" w:firstColumn="1" w:lastColumn="0" w:noHBand="0" w:noVBand="1"/>
      </w:tblPr>
      <w:tblGrid>
        <w:gridCol w:w="9160"/>
      </w:tblGrid>
      <w:tr w:rsidR="000D7F13" w14:paraId="441C7B49" w14:textId="77777777" w:rsidTr="000D7F13">
        <w:trPr>
          <w:tblHeader/>
          <w:tblCellSpacing w:w="15" w:type="dxa"/>
        </w:trPr>
        <w:tc>
          <w:tcPr>
            <w:tcW w:w="0" w:type="auto"/>
            <w:vAlign w:val="center"/>
            <w:hideMark/>
          </w:tcPr>
          <w:p w14:paraId="5C7D0B04" w14:textId="77777777" w:rsidR="000D7F13" w:rsidRDefault="000D7F13" w:rsidP="000D7F13">
            <w:pPr>
              <w:pStyle w:val="Heading5"/>
              <w:ind w:left="476"/>
              <w:rPr>
                <w:rFonts w:eastAsia="Times New Roman"/>
              </w:rPr>
            </w:pPr>
            <w:r>
              <w:rPr>
                <w:rFonts w:eastAsia="Times New Roman"/>
              </w:rPr>
              <w:t>C.1. Araştırma Süreçlerinin Yönetimi ve Araştırma Kaynakları</w:t>
            </w:r>
          </w:p>
        </w:tc>
      </w:tr>
      <w:tr w:rsidR="000D7F13" w14:paraId="3E824BA4" w14:textId="77777777" w:rsidTr="000D7F13">
        <w:trPr>
          <w:tblCellSpacing w:w="15" w:type="dxa"/>
        </w:trPr>
        <w:tc>
          <w:tcPr>
            <w:tcW w:w="0" w:type="auto"/>
            <w:vAlign w:val="center"/>
            <w:hideMark/>
          </w:tcPr>
          <w:p w14:paraId="13B26967" w14:textId="77777777" w:rsidR="000D7F13" w:rsidRDefault="000D7F13" w:rsidP="000D7F13">
            <w:pPr>
              <w:pStyle w:val="Heading5"/>
              <w:ind w:left="759"/>
              <w:rPr>
                <w:rFonts w:eastAsia="Times New Roman"/>
              </w:rPr>
            </w:pPr>
            <w:r>
              <w:rPr>
                <w:rFonts w:eastAsia="Times New Roman"/>
              </w:rPr>
              <w:t>C.1.1. Araştırma süreçlerinin yönetimi</w:t>
            </w:r>
          </w:p>
        </w:tc>
      </w:tr>
    </w:tbl>
    <w:p w14:paraId="279CA766" w14:textId="77777777" w:rsidR="000D7F13" w:rsidRDefault="000D7F13" w:rsidP="000D7F13">
      <w:pPr>
        <w:pStyle w:val="NormalWeb"/>
        <w:ind w:left="426"/>
        <w:jc w:val="both"/>
      </w:pPr>
      <w:r>
        <w:t>Program öğrenci ve öğretim elemanlarının birlikte bir proje hazırlamasını sağlayacak teşvik politikaları desteklenmekte olup, Birim ders havuzunda bulunan "Araştırma Yöntemleri ve Teknikleri" ve “Hibe Projeleri Hazırlama Teknikleri” gibi derslerde öğrencilerin alan araştırması ve proje yazımı gibi kabiliyetlerinin geliştirilmesi amacıyla yönlendirmeler yapılmakta ve dersler uygulamalı şekilde işlenebilmektedir. Mevcut durumda eğitim-öğretim hizmetlerinin araştırma süreçleri ve toplumsal katkıyla ilişkisi kurulmaktadır. Bu tip derslerle öğrencilerin meslek hayatlarında benzer süreçlere hâkim olmaları amacıyla araştırma-geliştirme süreçlerini içselleştirmelerine yardımcı olmak amaçlanmaktadır.</w:t>
      </w:r>
    </w:p>
    <w:p w14:paraId="3FCEBF35" w14:textId="77777777" w:rsidR="009F0D03" w:rsidRDefault="000D7F13" w:rsidP="000D7F13">
      <w:pPr>
        <w:pStyle w:val="NormalWeb"/>
        <w:ind w:left="426"/>
        <w:jc w:val="both"/>
      </w:pPr>
      <w:r>
        <w:t>Birimimiz öğretim elemanları tarafından geliştirilen araştırma-geliştirme etkinliklerinin uygulanması, planlanması ve kontrol edilmesi, harcamalar da dâhil olmak üzere araştırma ve geliştirme süreçlerine ait iş ve işlemler elektronik ortamda Üniversitemiz “BAP Koordinasyon Birimi” tarafından yerine getirilmekte ve takip edilmektedir.</w:t>
      </w:r>
    </w:p>
    <w:p w14:paraId="798A3535" w14:textId="77777777" w:rsidR="000D7F13" w:rsidRDefault="000D7F13" w:rsidP="000D7F13">
      <w:pPr>
        <w:pStyle w:val="NormalWeb"/>
        <w:ind w:left="709"/>
        <w:jc w:val="both"/>
        <w:rPr>
          <w:sz w:val="21"/>
          <w:szCs w:val="21"/>
        </w:rPr>
      </w:pPr>
      <w:r>
        <w:rPr>
          <w:b/>
          <w:bCs/>
          <w:sz w:val="21"/>
          <w:szCs w:val="21"/>
        </w:rPr>
        <w:t>Olgunluk Değeri 4 :</w:t>
      </w:r>
      <w:r>
        <w:rPr>
          <w:sz w:val="21"/>
          <w:szCs w:val="21"/>
        </w:rPr>
        <w:t xml:space="preserve"> Kurumda araştırma süreçlerinin yönetimi ve organizasyonel yapısının işlerliği ile ilişkili sonuçlar izlenmekte ve önlemler alınmaktadır.</w:t>
      </w:r>
    </w:p>
    <w:p w14:paraId="4628341B" w14:textId="77777777" w:rsidR="000D7F13" w:rsidRDefault="000D7F13" w:rsidP="000D7F13">
      <w:pPr>
        <w:pStyle w:val="NormalWeb"/>
        <w:ind w:left="709"/>
        <w:jc w:val="both"/>
        <w:rPr>
          <w:b/>
          <w:bCs/>
        </w:rPr>
      </w:pPr>
      <w:r w:rsidRPr="000D7F13">
        <w:rPr>
          <w:b/>
          <w:bCs/>
        </w:rPr>
        <w:lastRenderedPageBreak/>
        <w:t>C.1.2. İç ve dış kaynaklar</w:t>
      </w:r>
    </w:p>
    <w:p w14:paraId="0F63C169" w14:textId="77777777" w:rsidR="000D7F13" w:rsidRDefault="000D7F13" w:rsidP="000D7F13">
      <w:pPr>
        <w:pStyle w:val="NormalWeb"/>
        <w:ind w:left="709"/>
        <w:jc w:val="both"/>
        <w:rPr>
          <w:b/>
          <w:bCs/>
        </w:rPr>
      </w:pPr>
    </w:p>
    <w:p w14:paraId="00FF8535" w14:textId="77777777" w:rsidR="000D7F13" w:rsidRDefault="000D7F13" w:rsidP="000D7F13">
      <w:pPr>
        <w:pStyle w:val="NormalWeb"/>
        <w:ind w:left="426"/>
        <w:jc w:val="both"/>
        <w:rPr>
          <w:b/>
          <w:bCs/>
        </w:rPr>
      </w:pPr>
      <w:r w:rsidRPr="000D7F13">
        <w:rPr>
          <w:b/>
          <w:bCs/>
        </w:rPr>
        <w:t>C.2. Araştırma Yetkinliği, İş birlikleri ve Destekler</w:t>
      </w:r>
    </w:p>
    <w:p w14:paraId="65A5EE3C" w14:textId="77777777" w:rsidR="000D7F13" w:rsidRDefault="000D7F13" w:rsidP="000D7F13">
      <w:pPr>
        <w:pStyle w:val="NormalWeb"/>
        <w:ind w:left="709"/>
        <w:jc w:val="both"/>
        <w:rPr>
          <w:b/>
          <w:bCs/>
        </w:rPr>
      </w:pPr>
      <w:r w:rsidRPr="000D7F13">
        <w:rPr>
          <w:b/>
          <w:bCs/>
        </w:rPr>
        <w:t>C.2.1. Araştırma yetkinlikleri ve gelişimi</w:t>
      </w:r>
    </w:p>
    <w:p w14:paraId="29B1658A" w14:textId="77777777" w:rsidR="000D7F13" w:rsidRPr="000D7F13" w:rsidRDefault="000D7F13" w:rsidP="000D7F13">
      <w:pPr>
        <w:spacing w:before="100" w:beforeAutospacing="1" w:after="100" w:afterAutospacing="1"/>
        <w:ind w:left="426"/>
        <w:jc w:val="both"/>
      </w:pPr>
      <w:r w:rsidRPr="000D7F13">
        <w:t>BMYO bünyesinde görevli öğretim elemanlarının sahip olduğu yetkinliklerin ilgili mevzuat çerçevesinde tespiti yapılmaktadır. Bilecik Şeyh Edebali Üniversitesi Personel Daire Başkanlığı'nın personel alım süreçleri ve personel yönetim süreçlerinde uygulamakta olduğu yasal düzenlemeler çerçevesinde Birim akademik alımları, Yükseköğretim Kanunu, Öğretim Üyesi Dışındaki Öğretim Elemanı Kadrolarına Naklen veya Açıktan Y</w:t>
      </w:r>
      <w:r>
        <w:t xml:space="preserve">apılacak Atamalarda Uygulanacak Merkezi </w:t>
      </w:r>
      <w:r w:rsidRPr="000D7F13">
        <w:t>Sınav</w:t>
      </w:r>
      <w:r>
        <w:t xml:space="preserve"> </w:t>
      </w:r>
      <w:r w:rsidRPr="000D7F13">
        <w:t>ile</w:t>
      </w:r>
      <w:r>
        <w:t xml:space="preserve"> Giriş Sınavlarına </w:t>
      </w:r>
      <w:r w:rsidRPr="000D7F13">
        <w:t>İlişkin</w:t>
      </w:r>
      <w:r>
        <w:t xml:space="preserve"> </w:t>
      </w:r>
      <w:r w:rsidRPr="000D7F13">
        <w:t>Usul</w:t>
      </w:r>
      <w:r>
        <w:t xml:space="preserve"> </w:t>
      </w:r>
      <w:r w:rsidRPr="000D7F13">
        <w:t>ve</w:t>
      </w:r>
      <w:r>
        <w:t xml:space="preserve"> </w:t>
      </w:r>
      <w:r w:rsidRPr="000D7F13">
        <w:t>Esa</w:t>
      </w:r>
      <w:r>
        <w:t xml:space="preserve">slar ile Öğretim Üyesi Atama ve </w:t>
      </w:r>
      <w:r w:rsidRPr="000D7F13">
        <w:t>Yükseltm</w:t>
      </w:r>
      <w:r>
        <w:t xml:space="preserve">e Kriterleri uygulama süreçleri </w:t>
      </w:r>
      <w:r w:rsidRPr="000D7F13">
        <w:t xml:space="preserve">işletilmektedir </w:t>
      </w:r>
      <w:hyperlink r:id="rId44" w:history="1">
        <w:r w:rsidRPr="000D7F13">
          <w:rPr>
            <w:color w:val="0000FF"/>
            <w:u w:val="single"/>
          </w:rPr>
          <w:t>(OD4)</w:t>
        </w:r>
      </w:hyperlink>
      <w:r w:rsidRPr="000D7F13">
        <w:t xml:space="preserve"> </w:t>
      </w:r>
      <w:hyperlink r:id="rId45" w:history="1">
        <w:r w:rsidRPr="000D7F13">
          <w:rPr>
            <w:color w:val="0000FF"/>
            <w:u w:val="single"/>
          </w:rPr>
          <w:t>(OD4)</w:t>
        </w:r>
      </w:hyperlink>
      <w:r w:rsidRPr="000D7F13">
        <w:t>.</w:t>
      </w:r>
    </w:p>
    <w:p w14:paraId="15913A19" w14:textId="77777777" w:rsidR="000D7F13" w:rsidRPr="000D7F13" w:rsidRDefault="000D7F13" w:rsidP="000D7F13">
      <w:pPr>
        <w:spacing w:before="100" w:beforeAutospacing="1" w:after="100" w:afterAutospacing="1"/>
        <w:ind w:left="426"/>
        <w:jc w:val="both"/>
      </w:pPr>
      <w:r w:rsidRPr="000D7F13">
        <w:t xml:space="preserve">Birim bazında her akademik personel YÖKSİS üzerinden yaptıkları akademik çalışmaları ve özgeçmişlerini güncellemektedir. Bu sayede yapılan bu güncellemeler, üniversitemizin veri tabanında bulunan Akademik Veri Sistemi (AVENSİS) üzerinden kamuoyu ile paylaşılmaktadır </w:t>
      </w:r>
      <w:hyperlink r:id="rId46" w:history="1">
        <w:r w:rsidRPr="000D7F13">
          <w:rPr>
            <w:color w:val="0000FF"/>
            <w:u w:val="single"/>
          </w:rPr>
          <w:t>(OD4)</w:t>
        </w:r>
      </w:hyperlink>
      <w:r w:rsidRPr="000D7F13">
        <w:t> Bölümlere yapılan bilgilendirmeler ve elde edilen bilgiler Birim İdari Faaliyet Raporlarına</w:t>
      </w:r>
      <w:r>
        <w:t xml:space="preserve"> </w:t>
      </w:r>
      <w:r w:rsidRPr="000D7F13">
        <w:t>eklenmekte</w:t>
      </w:r>
      <w:r>
        <w:t xml:space="preserve"> hem </w:t>
      </w:r>
      <w:r w:rsidRPr="000D7F13">
        <w:t>birim tarafından</w:t>
      </w:r>
      <w:r>
        <w:t xml:space="preserve"> </w:t>
      </w:r>
      <w:r w:rsidRPr="000D7F13">
        <w:t>hem</w:t>
      </w:r>
      <w:r>
        <w:t xml:space="preserve"> de </w:t>
      </w:r>
      <w:r w:rsidRPr="000D7F13">
        <w:t>kam</w:t>
      </w:r>
      <w:r>
        <w:t xml:space="preserve">uoyu tarafından </w:t>
      </w:r>
      <w:r w:rsidRPr="000D7F13">
        <w:t>görünürlüğü sağlanmaktadır. BMYO bünyesinde bulunan öğretim elemanlarının ulusal ve uluslararası bilimsel etkinlik (Kongre, konferans, sempozyum, çalıştay, panel gibi) katılım süreçleri desteklenmektedir (C.2.1.4)</w:t>
      </w:r>
    </w:p>
    <w:p w14:paraId="7F6E982F" w14:textId="77777777" w:rsidR="000D7F13" w:rsidRPr="000D7F13" w:rsidRDefault="000D7F13" w:rsidP="000D7F13">
      <w:pPr>
        <w:spacing w:before="100" w:beforeAutospacing="1" w:after="100" w:afterAutospacing="1"/>
        <w:ind w:left="426"/>
      </w:pPr>
      <w:r w:rsidRPr="000D7F13">
        <w:rPr>
          <w:b/>
          <w:bCs/>
        </w:rPr>
        <w:t>Kanıt</w:t>
      </w:r>
    </w:p>
    <w:p w14:paraId="50D151BD" w14:textId="77777777" w:rsidR="000D7F13" w:rsidRDefault="000D7F13" w:rsidP="000D7F13">
      <w:pPr>
        <w:pStyle w:val="NormalWeb"/>
        <w:ind w:left="426"/>
        <w:jc w:val="both"/>
      </w:pPr>
      <w:r w:rsidRPr="000D7F13">
        <w:t>[4](4)C.2.1.sempozyum_katilim_yazisi</w:t>
      </w:r>
    </w:p>
    <w:p w14:paraId="09399382" w14:textId="77777777" w:rsidR="000D7F13" w:rsidRDefault="003B14CD" w:rsidP="003B14CD">
      <w:pPr>
        <w:pStyle w:val="NormalWeb"/>
        <w:ind w:left="709"/>
        <w:jc w:val="both"/>
        <w:rPr>
          <w:sz w:val="21"/>
          <w:szCs w:val="21"/>
        </w:rPr>
      </w:pPr>
      <w:r>
        <w:rPr>
          <w:b/>
          <w:bCs/>
          <w:sz w:val="21"/>
          <w:szCs w:val="21"/>
        </w:rPr>
        <w:t>Olgunluk Değeri 4 :</w:t>
      </w:r>
      <w:r>
        <w:rPr>
          <w:sz w:val="21"/>
          <w:szCs w:val="21"/>
        </w:rPr>
        <w:t xml:space="preserve"> Kurumda, öğretim elemanlarının araştırma yetkinliğinin geliştirilmesine yönelik uygulamalar izlenmekte ve izlem sonuçları öğretim elemanları ile birlikte değerlendirilerek önlemler alınmaktadır.</w:t>
      </w:r>
    </w:p>
    <w:p w14:paraId="00DC9F86" w14:textId="77777777" w:rsidR="000D7F13" w:rsidRDefault="005309E8" w:rsidP="005309E8">
      <w:pPr>
        <w:pStyle w:val="NormalWeb"/>
        <w:ind w:left="709"/>
        <w:jc w:val="both"/>
        <w:rPr>
          <w:b/>
          <w:bCs/>
        </w:rPr>
      </w:pPr>
      <w:r w:rsidRPr="005309E8">
        <w:rPr>
          <w:b/>
          <w:bCs/>
        </w:rPr>
        <w:t>C.2.2. Ulusal ve uluslararası ortak programlar ve ortak araştırma birimleri</w:t>
      </w:r>
    </w:p>
    <w:p w14:paraId="2AE07B1F" w14:textId="77777777" w:rsidR="005309E8" w:rsidRDefault="005309E8" w:rsidP="000D7F13">
      <w:pPr>
        <w:pStyle w:val="NormalWeb"/>
        <w:ind w:left="426"/>
        <w:jc w:val="both"/>
      </w:pPr>
      <w:r>
        <w:t>BMYO’nun 2024 yılı içinde dâhil olduğu ulusal ve uluslararası bir iş birliği programı, kurumsal ortaklık ilişkisi bulunmamaktadır.</w:t>
      </w:r>
    </w:p>
    <w:p w14:paraId="00E02AE2" w14:textId="77777777" w:rsidR="005309E8" w:rsidRDefault="005309E8" w:rsidP="005309E8">
      <w:pPr>
        <w:pStyle w:val="NormalWeb"/>
        <w:ind w:left="709"/>
        <w:jc w:val="both"/>
        <w:rPr>
          <w:sz w:val="21"/>
          <w:szCs w:val="21"/>
        </w:rPr>
      </w:pPr>
      <w:r>
        <w:rPr>
          <w:b/>
          <w:bCs/>
          <w:sz w:val="21"/>
          <w:szCs w:val="21"/>
        </w:rPr>
        <w:t>Olgunluk Değeri 2 :</w:t>
      </w:r>
      <w:r>
        <w:rPr>
          <w:sz w:val="21"/>
          <w:szCs w:val="21"/>
        </w:rPr>
        <w:t xml:space="preserve"> Kurumda ulusal ve uluslararası düzeyde ortak programlar ve ortak araştırma birimleri ile araştırma ağlarına katılım ve iş birlikleri kurma gibi çoklu araştırma faaliyetlerine yönelik planlamalar ve mekanizmalar bulunmaktadır.</w:t>
      </w:r>
    </w:p>
    <w:p w14:paraId="32D9DE2E" w14:textId="77777777" w:rsidR="005309E8" w:rsidRDefault="005309E8" w:rsidP="000D7F13">
      <w:pPr>
        <w:pStyle w:val="NormalWeb"/>
        <w:ind w:left="426"/>
        <w:jc w:val="both"/>
        <w:rPr>
          <w:b/>
          <w:bCs/>
        </w:rPr>
      </w:pPr>
    </w:p>
    <w:p w14:paraId="6B2D6423" w14:textId="77777777" w:rsidR="000D7F13" w:rsidRDefault="005309E8" w:rsidP="000D7F13">
      <w:pPr>
        <w:pStyle w:val="NormalWeb"/>
        <w:ind w:left="426"/>
        <w:jc w:val="both"/>
        <w:rPr>
          <w:b/>
          <w:bCs/>
        </w:rPr>
      </w:pPr>
      <w:r w:rsidRPr="005309E8">
        <w:rPr>
          <w:b/>
          <w:bCs/>
        </w:rPr>
        <w:t>C.3. Araştırma Performansı</w:t>
      </w:r>
    </w:p>
    <w:p w14:paraId="4767831B" w14:textId="77777777" w:rsidR="005309E8" w:rsidRDefault="005309E8" w:rsidP="005309E8">
      <w:pPr>
        <w:pStyle w:val="NormalWeb"/>
        <w:ind w:left="709"/>
        <w:jc w:val="both"/>
        <w:rPr>
          <w:b/>
          <w:bCs/>
        </w:rPr>
      </w:pPr>
      <w:r w:rsidRPr="005309E8">
        <w:rPr>
          <w:b/>
          <w:bCs/>
        </w:rPr>
        <w:t>C.3.1. Araştırma performansının izlenmesi ve değerlendirilmesi</w:t>
      </w:r>
    </w:p>
    <w:p w14:paraId="691D8E54" w14:textId="77777777" w:rsidR="005309E8" w:rsidRDefault="005309E8" w:rsidP="005309E8">
      <w:pPr>
        <w:pStyle w:val="NormalWeb"/>
        <w:ind w:left="426"/>
        <w:jc w:val="both"/>
      </w:pPr>
      <w:r>
        <w:t>Öğretim elemanlarının araştırma yetkinliğinin izlenmesi ve iyileştirilmesine ilişkin izleme çalışmaları AVESİS üzerinden yapılmaktadır.</w:t>
      </w:r>
    </w:p>
    <w:p w14:paraId="2DEA1F75" w14:textId="77777777" w:rsidR="005309E8" w:rsidRDefault="005309E8" w:rsidP="005309E8">
      <w:pPr>
        <w:pStyle w:val="NormalWeb"/>
        <w:ind w:left="426"/>
        <w:jc w:val="both"/>
      </w:pPr>
      <w:r>
        <w:t xml:space="preserve">Birim öğretim elemanlarından Akademik Teşvik talebinde bulunan öğretim elemanlarının başvuru süreçleri takip edilerek başvuru ve itiraz süreçleri Üniversite ilgili Birimlerine </w:t>
      </w:r>
      <w:r>
        <w:lastRenderedPageBreak/>
        <w:t>ulaştırılmaktadır. Birim bünyesinde akademik personelin niteliğini geliştirme süreçleri devam etmektedir. 2024 yılı için Akademik Teşvik Yönetmeliği doğrultusunda destek talebi olan 3 akademik personel bulunmaktadır. Hâlihazırda 4 (Dört) öğretim elemanı doktora eğitimlerini sürdürmektedir. 2024 yılı içinde 2 (İki) öğretim elemanı doçent unvanını almaya hak kazanmıştır.</w:t>
      </w:r>
    </w:p>
    <w:p w14:paraId="09C59769" w14:textId="77777777" w:rsidR="005309E8" w:rsidRDefault="005309E8" w:rsidP="005309E8">
      <w:pPr>
        <w:pStyle w:val="NormalWeb"/>
        <w:ind w:left="709"/>
        <w:jc w:val="both"/>
        <w:rPr>
          <w:sz w:val="21"/>
          <w:szCs w:val="21"/>
        </w:rPr>
      </w:pPr>
      <w:r>
        <w:rPr>
          <w:b/>
          <w:bCs/>
          <w:sz w:val="21"/>
          <w:szCs w:val="21"/>
        </w:rPr>
        <w:t>Olgunluk Değeri 3 :</w:t>
      </w:r>
      <w:r>
        <w:rPr>
          <w:sz w:val="21"/>
          <w:szCs w:val="21"/>
        </w:rPr>
        <w:t xml:space="preserve"> Kurumun genelinde araştırma performansını izlenmek ve değerlendirmek üzere oluşturulan mekanizmalar kullanılmaktadır.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935DD7" w14:paraId="56B69250" w14:textId="77777777" w:rsidTr="00B65EBF">
        <w:trPr>
          <w:tblCellSpacing w:w="15" w:type="dxa"/>
        </w:trPr>
        <w:tc>
          <w:tcPr>
            <w:tcW w:w="0" w:type="auto"/>
            <w:vAlign w:val="center"/>
            <w:hideMark/>
          </w:tcPr>
          <w:p w14:paraId="7C4E4AB1" w14:textId="77777777" w:rsidR="00CF2877" w:rsidRDefault="00CF2877" w:rsidP="00935DD7">
            <w:pPr>
              <w:pStyle w:val="Heading5"/>
              <w:rPr>
                <w:rFonts w:eastAsia="Times New Roman"/>
                <w:sz w:val="24"/>
              </w:rPr>
            </w:pPr>
          </w:p>
          <w:p w14:paraId="6294674D" w14:textId="77777777" w:rsidR="00CF2877" w:rsidRDefault="00CF2877" w:rsidP="00935DD7">
            <w:pPr>
              <w:pStyle w:val="Heading5"/>
              <w:rPr>
                <w:rFonts w:eastAsia="Times New Roman"/>
                <w:sz w:val="24"/>
              </w:rPr>
            </w:pPr>
          </w:p>
          <w:p w14:paraId="724BF0AD" w14:textId="77777777" w:rsidR="00935DD7" w:rsidRPr="00810739" w:rsidRDefault="00935DD7" w:rsidP="00935DD7">
            <w:pPr>
              <w:pStyle w:val="Heading5"/>
              <w:rPr>
                <w:rFonts w:eastAsia="Times New Roman"/>
                <w:sz w:val="24"/>
              </w:rPr>
            </w:pPr>
            <w:r w:rsidRPr="00810739">
              <w:rPr>
                <w:rFonts w:eastAsia="Times New Roman"/>
                <w:sz w:val="24"/>
              </w:rPr>
              <w:t>D. TOPLUMSAL KATKI</w:t>
            </w:r>
          </w:p>
          <w:p w14:paraId="665D18C7" w14:textId="77777777" w:rsidR="00935DD7" w:rsidRPr="00810739" w:rsidRDefault="00935DD7" w:rsidP="00935DD7">
            <w:pPr>
              <w:pStyle w:val="Heading5"/>
              <w:ind w:left="426"/>
              <w:rPr>
                <w:rFonts w:eastAsia="Times New Roman"/>
                <w:sz w:val="24"/>
              </w:rPr>
            </w:pPr>
            <w:r w:rsidRPr="00810739">
              <w:rPr>
                <w:rFonts w:eastAsia="Times New Roman"/>
                <w:sz w:val="24"/>
              </w:rPr>
              <w:t>D.2. Toplumsal Katkı Performansı</w:t>
            </w:r>
          </w:p>
          <w:p w14:paraId="1C8C74EB" w14:textId="77777777" w:rsidR="00935DD7" w:rsidRPr="00810739" w:rsidRDefault="00935DD7" w:rsidP="00935DD7">
            <w:pPr>
              <w:pStyle w:val="Heading5"/>
              <w:ind w:left="709"/>
              <w:rPr>
                <w:rFonts w:eastAsia="Times New Roman"/>
                <w:sz w:val="24"/>
              </w:rPr>
            </w:pPr>
            <w:r w:rsidRPr="00810739">
              <w:rPr>
                <w:rFonts w:eastAsia="Times New Roman"/>
                <w:sz w:val="24"/>
              </w:rPr>
              <w:t>D.2.1.Toplumsal katkı performansının izlenmesi ve değerlendirilmesi</w:t>
            </w:r>
          </w:p>
          <w:p w14:paraId="536E210E" w14:textId="77777777" w:rsidR="00935DD7" w:rsidRDefault="00935DD7" w:rsidP="00935DD7">
            <w:pPr>
              <w:pStyle w:val="Heading5"/>
              <w:ind w:left="426"/>
              <w:jc w:val="both"/>
              <w:rPr>
                <w:b w:val="0"/>
                <w:sz w:val="24"/>
              </w:rPr>
            </w:pPr>
            <w:r w:rsidRPr="00935DD7">
              <w:rPr>
                <w:b w:val="0"/>
                <w:sz w:val="24"/>
              </w:rPr>
              <w:t>Birim, farklı il ve ilçelerden gelen</w:t>
            </w:r>
            <w:r>
              <w:rPr>
                <w:b w:val="0"/>
                <w:sz w:val="24"/>
              </w:rPr>
              <w:t xml:space="preserve"> öğrencilerin ilçede barınması, </w:t>
            </w:r>
            <w:r w:rsidRPr="00935DD7">
              <w:rPr>
                <w:b w:val="0"/>
                <w:sz w:val="24"/>
              </w:rPr>
              <w:t>sosyal</w:t>
            </w:r>
            <w:r>
              <w:rPr>
                <w:b w:val="0"/>
                <w:sz w:val="24"/>
              </w:rPr>
              <w:t xml:space="preserve"> ve kültürel faaliyetlerin parçası olmasına yönelik bilgilendirme ve yönlendirmeler yapmaktadır. Birim </w:t>
            </w:r>
            <w:r w:rsidRPr="00935DD7">
              <w:rPr>
                <w:b w:val="0"/>
                <w:sz w:val="24"/>
              </w:rPr>
              <w:t>bünyesi</w:t>
            </w:r>
            <w:r>
              <w:rPr>
                <w:b w:val="0"/>
                <w:sz w:val="24"/>
              </w:rPr>
              <w:t xml:space="preserve">nde bulunan, farklı disiplinlerden akademik program öğrenci yetiştirilmesi yönünde </w:t>
            </w:r>
            <w:r w:rsidRPr="00935DD7">
              <w:rPr>
                <w:b w:val="0"/>
                <w:sz w:val="24"/>
              </w:rPr>
              <w:t>toplumsal</w:t>
            </w:r>
            <w:r>
              <w:rPr>
                <w:b w:val="0"/>
                <w:sz w:val="24"/>
              </w:rPr>
              <w:t xml:space="preserve"> katkı sağlamaktadır. Öğrencilerin eğitim aldıkları ilçede eğitim süreçleri </w:t>
            </w:r>
            <w:r w:rsidRPr="00935DD7">
              <w:rPr>
                <w:b w:val="0"/>
                <w:sz w:val="24"/>
              </w:rPr>
              <w:t>içinde kalması ilçenin ekonomik ve sosyal yönden geliş</w:t>
            </w:r>
            <w:r>
              <w:rPr>
                <w:b w:val="0"/>
                <w:sz w:val="24"/>
              </w:rPr>
              <w:t xml:space="preserve">imine etki etmektedir. Barınma, </w:t>
            </w:r>
            <w:r w:rsidRPr="00935DD7">
              <w:rPr>
                <w:b w:val="0"/>
                <w:sz w:val="24"/>
              </w:rPr>
              <w:t>beslenme, ulaşım gibi temel bireysel ihtiyaçlarını kar</w:t>
            </w:r>
            <w:r>
              <w:rPr>
                <w:b w:val="0"/>
                <w:sz w:val="24"/>
              </w:rPr>
              <w:t xml:space="preserve">şılamaya yönelik düzenlemelerin </w:t>
            </w:r>
            <w:r w:rsidRPr="00935DD7">
              <w:rPr>
                <w:b w:val="0"/>
                <w:sz w:val="24"/>
              </w:rPr>
              <w:t>yapılması ilçede yaşayanların mevcut gelişmelerden olumlu etkilenmesini sağlamaktadır.</w:t>
            </w:r>
          </w:p>
          <w:p w14:paraId="42F6ED14" w14:textId="3F2B7F07" w:rsidR="00810739" w:rsidRPr="00810739" w:rsidRDefault="00E36C3A" w:rsidP="00935DD7">
            <w:pPr>
              <w:pStyle w:val="Heading5"/>
              <w:ind w:left="426"/>
              <w:jc w:val="both"/>
              <w:rPr>
                <w:b w:val="0"/>
                <w:sz w:val="32"/>
              </w:rPr>
            </w:pPr>
            <w:r w:rsidRPr="00E36C3A">
              <w:rPr>
                <w:b w:val="0"/>
                <w:sz w:val="24"/>
              </w:rPr>
              <w:t>2024 yılında Birimimizin sağladığı en önemli toplumsal katkı, Finans, Bankacılık ve Sigortacılık Programının liderliğinde Bozüyük Grand Çalı Otel’de düzenlenen  4. Uluslararası Bankacılık Kongresi olmuştur. Birimimiz öğretim elemanlarının düzenleme kurulunda yer aldığı kongrede çok sayıda yerli ve yabancı akademisyen çeşitli konularda bildiri sunmuştur. Kongrenin birinci gününde açılış konuşmalarının ardından  “Dünya ve Türkiye Piyasalarındaki Son Gelişmeler” konulu panel düzenlenmiştir. Panelde İş Yatırım Uluslararası Piyasalar Direktörü Şant Manukyan, Başkent Üniversitesi Uluslararası Finans ve Bankacılık Bölüm Başkanı Prof.</w:t>
            </w:r>
            <w:r>
              <w:rPr>
                <w:b w:val="0"/>
                <w:sz w:val="24"/>
              </w:rPr>
              <w:t xml:space="preserve"> </w:t>
            </w:r>
            <w:r w:rsidRPr="00E36C3A">
              <w:rPr>
                <w:b w:val="0"/>
                <w:sz w:val="24"/>
              </w:rPr>
              <w:t>Dr. Şenol Babuşçu ve İş Yatırım Araştırma Direktörü Serhat Gürleyen konuşmacı olarak yer almıştır.  Bilim insanlarının yanısıra  Bozüyük iş ve finans çevrelerinden çok sayıda  davetli sempozyuma iştirak etmiştir. Ayrıca Yüksekokul öğrencilerimiz de kongrede görev almış,  hem bilim hem iş insanları ile buluşma fırsatı yakalamışlardır.</w:t>
            </w:r>
            <w:r w:rsidR="00810739" w:rsidRPr="00E36C3A">
              <w:rPr>
                <w:rFonts w:eastAsia="Times New Roman"/>
                <w:b w:val="0"/>
                <w:sz w:val="32"/>
              </w:rPr>
              <w:t xml:space="preserve"> </w:t>
            </w:r>
            <w:hyperlink r:id="rId47" w:history="1">
              <w:r w:rsidR="00810739" w:rsidRPr="00810739">
                <w:rPr>
                  <w:rStyle w:val="Hyperlink"/>
                  <w:rFonts w:eastAsia="Times New Roman"/>
                  <w:b w:val="0"/>
                  <w:sz w:val="24"/>
                </w:rPr>
                <w:t>(OD</w:t>
              </w:r>
              <w:r>
                <w:rPr>
                  <w:rStyle w:val="Hyperlink"/>
                  <w:rFonts w:eastAsia="Times New Roman"/>
                  <w:b w:val="0"/>
                  <w:sz w:val="24"/>
                </w:rPr>
                <w:t>3</w:t>
              </w:r>
              <w:r w:rsidR="00810739" w:rsidRPr="00810739">
                <w:rPr>
                  <w:rStyle w:val="Hyperlink"/>
                  <w:rFonts w:eastAsia="Times New Roman"/>
                  <w:b w:val="0"/>
                  <w:sz w:val="24"/>
                </w:rPr>
                <w:t>)</w:t>
              </w:r>
            </w:hyperlink>
            <w:r w:rsidR="00810739" w:rsidRPr="00810739">
              <w:rPr>
                <w:rStyle w:val="Hyperlink"/>
                <w:rFonts w:eastAsia="Times New Roman"/>
                <w:b w:val="0"/>
                <w:color w:val="auto"/>
                <w:sz w:val="24"/>
                <w:u w:val="none"/>
              </w:rPr>
              <w:t xml:space="preserve">. </w:t>
            </w:r>
          </w:p>
          <w:p w14:paraId="15F1EDB0" w14:textId="77777777" w:rsidR="00935DD7" w:rsidRDefault="00574582" w:rsidP="00574582">
            <w:pPr>
              <w:pStyle w:val="Heading5"/>
              <w:ind w:left="709"/>
              <w:jc w:val="both"/>
              <w:rPr>
                <w:b w:val="0"/>
                <w:sz w:val="21"/>
                <w:szCs w:val="21"/>
              </w:rPr>
            </w:pPr>
            <w:r w:rsidRPr="00574582">
              <w:rPr>
                <w:bCs w:val="0"/>
                <w:sz w:val="21"/>
                <w:szCs w:val="21"/>
              </w:rPr>
              <w:t>Olgunluk Değeri 3 :</w:t>
            </w:r>
            <w:r w:rsidRPr="00574582">
              <w:rPr>
                <w:sz w:val="21"/>
                <w:szCs w:val="21"/>
              </w:rPr>
              <w:t xml:space="preserve"> </w:t>
            </w:r>
            <w:r w:rsidRPr="00574582">
              <w:rPr>
                <w:b w:val="0"/>
                <w:sz w:val="21"/>
                <w:szCs w:val="21"/>
              </w:rPr>
              <w:t>Kurumun genelinde toplumsal katkı performansını izlenmek ve değerlendirmek üzere oluşturulan mekanizmalar kullanılmaktadır.</w:t>
            </w:r>
          </w:p>
          <w:p w14:paraId="7D382F1B" w14:textId="77777777" w:rsidR="00C42115" w:rsidRDefault="00C42115" w:rsidP="00574582">
            <w:pPr>
              <w:pStyle w:val="Heading5"/>
              <w:ind w:left="709"/>
              <w:jc w:val="both"/>
              <w:rPr>
                <w:rFonts w:eastAsia="Times New Roman"/>
              </w:rPr>
            </w:pPr>
          </w:p>
          <w:p w14:paraId="6F742B85" w14:textId="77777777" w:rsidR="00C42115" w:rsidRPr="00574582" w:rsidRDefault="00C42115" w:rsidP="00C42115">
            <w:pPr>
              <w:pStyle w:val="NormalWeb"/>
              <w:rPr>
                <w:rFonts w:eastAsia="Times New Roman"/>
              </w:rPr>
            </w:pPr>
          </w:p>
        </w:tc>
      </w:tr>
    </w:tbl>
    <w:p w14:paraId="3517F0CA" w14:textId="77777777" w:rsidR="00935DD7" w:rsidRDefault="00935DD7" w:rsidP="00935DD7">
      <w:pPr>
        <w:rPr>
          <w:rFonts w:eastAsia="Times New Roman"/>
          <w:vanish/>
        </w:rPr>
      </w:pPr>
    </w:p>
    <w:sectPr w:rsidR="00935DD7" w:rsidSect="00E93854">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27DA"/>
    <w:multiLevelType w:val="multilevel"/>
    <w:tmpl w:val="080AA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727DF"/>
    <w:multiLevelType w:val="multilevel"/>
    <w:tmpl w:val="913AE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C7359E"/>
    <w:multiLevelType w:val="multilevel"/>
    <w:tmpl w:val="68DE9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3217CF"/>
    <w:multiLevelType w:val="multilevel"/>
    <w:tmpl w:val="109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E12665"/>
    <w:multiLevelType w:val="multilevel"/>
    <w:tmpl w:val="6B24C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39"/>
    <w:rsid w:val="000524B7"/>
    <w:rsid w:val="000578AC"/>
    <w:rsid w:val="00092D28"/>
    <w:rsid w:val="000B3B31"/>
    <w:rsid w:val="000D7F13"/>
    <w:rsid w:val="0010207C"/>
    <w:rsid w:val="00136FF1"/>
    <w:rsid w:val="001C0348"/>
    <w:rsid w:val="001D7629"/>
    <w:rsid w:val="003016D2"/>
    <w:rsid w:val="00312C39"/>
    <w:rsid w:val="00363BAD"/>
    <w:rsid w:val="003B14CD"/>
    <w:rsid w:val="003F2E19"/>
    <w:rsid w:val="00447332"/>
    <w:rsid w:val="005309E8"/>
    <w:rsid w:val="00544F87"/>
    <w:rsid w:val="00554865"/>
    <w:rsid w:val="00574582"/>
    <w:rsid w:val="005773F4"/>
    <w:rsid w:val="005B06AB"/>
    <w:rsid w:val="00610B1C"/>
    <w:rsid w:val="00632439"/>
    <w:rsid w:val="006779DF"/>
    <w:rsid w:val="00696C2D"/>
    <w:rsid w:val="006A5FF2"/>
    <w:rsid w:val="00731644"/>
    <w:rsid w:val="007768CE"/>
    <w:rsid w:val="007B33C9"/>
    <w:rsid w:val="00810739"/>
    <w:rsid w:val="00902279"/>
    <w:rsid w:val="00935DD7"/>
    <w:rsid w:val="009659DD"/>
    <w:rsid w:val="009F0D03"/>
    <w:rsid w:val="009F25A0"/>
    <w:rsid w:val="00A12758"/>
    <w:rsid w:val="00A3639B"/>
    <w:rsid w:val="00A574FF"/>
    <w:rsid w:val="00A77378"/>
    <w:rsid w:val="00A952AA"/>
    <w:rsid w:val="00B3217C"/>
    <w:rsid w:val="00B5472C"/>
    <w:rsid w:val="00BA40F1"/>
    <w:rsid w:val="00BA4D1F"/>
    <w:rsid w:val="00C005CC"/>
    <w:rsid w:val="00C42115"/>
    <w:rsid w:val="00C60DEF"/>
    <w:rsid w:val="00CB2F6E"/>
    <w:rsid w:val="00CC4759"/>
    <w:rsid w:val="00CD3461"/>
    <w:rsid w:val="00CF14AA"/>
    <w:rsid w:val="00CF2877"/>
    <w:rsid w:val="00D34713"/>
    <w:rsid w:val="00D63387"/>
    <w:rsid w:val="00D94D48"/>
    <w:rsid w:val="00E33901"/>
    <w:rsid w:val="00E35354"/>
    <w:rsid w:val="00E36C3A"/>
    <w:rsid w:val="00E81FD3"/>
    <w:rsid w:val="00E93854"/>
    <w:rsid w:val="00EF1309"/>
    <w:rsid w:val="00EF5B68"/>
    <w:rsid w:val="00F22C07"/>
    <w:rsid w:val="00F30AD2"/>
    <w:rsid w:val="00FD4CCA"/>
    <w:rsid w:val="00FF0E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0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B31"/>
    <w:rPr>
      <w:rFonts w:eastAsiaTheme="minorEastAsia"/>
      <w:sz w:val="24"/>
      <w:szCs w:val="24"/>
    </w:rPr>
  </w:style>
  <w:style w:type="paragraph" w:styleId="Heading5">
    <w:name w:val="heading 5"/>
    <w:basedOn w:val="Normal"/>
    <w:link w:val="Heading5Char"/>
    <w:uiPriority w:val="9"/>
    <w:qFormat/>
    <w:rsid w:val="000D7F1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3C9"/>
    <w:pPr>
      <w:ind w:left="720"/>
      <w:contextualSpacing/>
    </w:pPr>
  </w:style>
  <w:style w:type="paragraph" w:styleId="NormalWeb">
    <w:name w:val="Normal (Web)"/>
    <w:basedOn w:val="Normal"/>
    <w:uiPriority w:val="99"/>
    <w:unhideWhenUsed/>
    <w:rsid w:val="000578AC"/>
    <w:pPr>
      <w:spacing w:before="100" w:beforeAutospacing="1" w:after="100" w:afterAutospacing="1"/>
    </w:pPr>
  </w:style>
  <w:style w:type="character" w:styleId="Hyperlink">
    <w:name w:val="Hyperlink"/>
    <w:basedOn w:val="DefaultParagraphFont"/>
    <w:uiPriority w:val="99"/>
    <w:unhideWhenUsed/>
    <w:rsid w:val="000578AC"/>
    <w:rPr>
      <w:color w:val="0000FF"/>
      <w:u w:val="single"/>
    </w:rPr>
  </w:style>
  <w:style w:type="character" w:styleId="Strong">
    <w:name w:val="Strong"/>
    <w:basedOn w:val="DefaultParagraphFont"/>
    <w:uiPriority w:val="22"/>
    <w:qFormat/>
    <w:rsid w:val="00EF1309"/>
    <w:rPr>
      <w:b/>
      <w:bCs/>
    </w:rPr>
  </w:style>
  <w:style w:type="character" w:styleId="FollowedHyperlink">
    <w:name w:val="FollowedHyperlink"/>
    <w:basedOn w:val="DefaultParagraphFont"/>
    <w:rsid w:val="00A574FF"/>
    <w:rPr>
      <w:color w:val="800080" w:themeColor="followedHyperlink"/>
      <w:u w:val="single"/>
    </w:rPr>
  </w:style>
  <w:style w:type="character" w:customStyle="1" w:styleId="Heading5Char">
    <w:name w:val="Heading 5 Char"/>
    <w:basedOn w:val="DefaultParagraphFont"/>
    <w:link w:val="Heading5"/>
    <w:uiPriority w:val="9"/>
    <w:rsid w:val="000D7F13"/>
    <w:rPr>
      <w:rFonts w:eastAsiaTheme="minorEastAs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B31"/>
    <w:rPr>
      <w:rFonts w:eastAsiaTheme="minorEastAsia"/>
      <w:sz w:val="24"/>
      <w:szCs w:val="24"/>
    </w:rPr>
  </w:style>
  <w:style w:type="paragraph" w:styleId="Heading5">
    <w:name w:val="heading 5"/>
    <w:basedOn w:val="Normal"/>
    <w:link w:val="Heading5Char"/>
    <w:uiPriority w:val="9"/>
    <w:qFormat/>
    <w:rsid w:val="000D7F1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3C9"/>
    <w:pPr>
      <w:ind w:left="720"/>
      <w:contextualSpacing/>
    </w:pPr>
  </w:style>
  <w:style w:type="paragraph" w:styleId="NormalWeb">
    <w:name w:val="Normal (Web)"/>
    <w:basedOn w:val="Normal"/>
    <w:uiPriority w:val="99"/>
    <w:unhideWhenUsed/>
    <w:rsid w:val="000578AC"/>
    <w:pPr>
      <w:spacing w:before="100" w:beforeAutospacing="1" w:after="100" w:afterAutospacing="1"/>
    </w:pPr>
  </w:style>
  <w:style w:type="character" w:styleId="Hyperlink">
    <w:name w:val="Hyperlink"/>
    <w:basedOn w:val="DefaultParagraphFont"/>
    <w:uiPriority w:val="99"/>
    <w:unhideWhenUsed/>
    <w:rsid w:val="000578AC"/>
    <w:rPr>
      <w:color w:val="0000FF"/>
      <w:u w:val="single"/>
    </w:rPr>
  </w:style>
  <w:style w:type="character" w:styleId="Strong">
    <w:name w:val="Strong"/>
    <w:basedOn w:val="DefaultParagraphFont"/>
    <w:uiPriority w:val="22"/>
    <w:qFormat/>
    <w:rsid w:val="00EF1309"/>
    <w:rPr>
      <w:b/>
      <w:bCs/>
    </w:rPr>
  </w:style>
  <w:style w:type="character" w:styleId="FollowedHyperlink">
    <w:name w:val="FollowedHyperlink"/>
    <w:basedOn w:val="DefaultParagraphFont"/>
    <w:rsid w:val="00A574FF"/>
    <w:rPr>
      <w:color w:val="800080" w:themeColor="followedHyperlink"/>
      <w:u w:val="single"/>
    </w:rPr>
  </w:style>
  <w:style w:type="character" w:customStyle="1" w:styleId="Heading5Char">
    <w:name w:val="Heading 5 Char"/>
    <w:basedOn w:val="DefaultParagraphFont"/>
    <w:link w:val="Heading5"/>
    <w:uiPriority w:val="9"/>
    <w:rsid w:val="000D7F13"/>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7195">
      <w:bodyDiv w:val="1"/>
      <w:marLeft w:val="0"/>
      <w:marRight w:val="0"/>
      <w:marTop w:val="0"/>
      <w:marBottom w:val="0"/>
      <w:divBdr>
        <w:top w:val="none" w:sz="0" w:space="0" w:color="auto"/>
        <w:left w:val="none" w:sz="0" w:space="0" w:color="auto"/>
        <w:bottom w:val="none" w:sz="0" w:space="0" w:color="auto"/>
        <w:right w:val="none" w:sz="0" w:space="0" w:color="auto"/>
      </w:divBdr>
    </w:div>
    <w:div w:id="887641459">
      <w:bodyDiv w:val="1"/>
      <w:marLeft w:val="0"/>
      <w:marRight w:val="0"/>
      <w:marTop w:val="0"/>
      <w:marBottom w:val="0"/>
      <w:divBdr>
        <w:top w:val="none" w:sz="0" w:space="0" w:color="auto"/>
        <w:left w:val="none" w:sz="0" w:space="0" w:color="auto"/>
        <w:bottom w:val="none" w:sz="0" w:space="0" w:color="auto"/>
        <w:right w:val="none" w:sz="0" w:space="0" w:color="auto"/>
      </w:divBdr>
    </w:div>
    <w:div w:id="998659050">
      <w:bodyDiv w:val="1"/>
      <w:marLeft w:val="0"/>
      <w:marRight w:val="0"/>
      <w:marTop w:val="0"/>
      <w:marBottom w:val="0"/>
      <w:divBdr>
        <w:top w:val="none" w:sz="0" w:space="0" w:color="auto"/>
        <w:left w:val="none" w:sz="0" w:space="0" w:color="auto"/>
        <w:bottom w:val="none" w:sz="0" w:space="0" w:color="auto"/>
        <w:right w:val="none" w:sz="0" w:space="0" w:color="auto"/>
      </w:divBdr>
    </w:div>
    <w:div w:id="1051806706">
      <w:bodyDiv w:val="1"/>
      <w:marLeft w:val="0"/>
      <w:marRight w:val="0"/>
      <w:marTop w:val="0"/>
      <w:marBottom w:val="0"/>
      <w:divBdr>
        <w:top w:val="none" w:sz="0" w:space="0" w:color="auto"/>
        <w:left w:val="none" w:sz="0" w:space="0" w:color="auto"/>
        <w:bottom w:val="none" w:sz="0" w:space="0" w:color="auto"/>
        <w:right w:val="none" w:sz="0" w:space="0" w:color="auto"/>
      </w:divBdr>
    </w:div>
    <w:div w:id="1516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s.bilecik.edu.tr/Bolumler?BolumAd=OnLisans" TargetMode="External"/><Relationship Id="rId18" Type="http://schemas.openxmlformats.org/officeDocument/2006/relationships/hyperlink" Target="file:///C:\Users\User\Downloads\B.1.5.2.%09https:\bilecik.edu.tr\bozuyuk\Icerik\Birim_oz_Degerlendirme_Raporu_fc9" TargetMode="External"/><Relationship Id="rId26" Type="http://schemas.openxmlformats.org/officeDocument/2006/relationships/hyperlink" Target="https://www.bilecik.edu.tr/kutuphane%20" TargetMode="External"/><Relationship Id="rId39" Type="http://schemas.openxmlformats.org/officeDocument/2006/relationships/hyperlink" Target="https://bilecik.edu.tr/bozuyuk/Icerik/Akademik_Personel_a74ce" TargetMode="External"/><Relationship Id="rId3" Type="http://schemas.openxmlformats.org/officeDocument/2006/relationships/styles" Target="styles.xml"/><Relationship Id="rId21" Type="http://schemas.openxmlformats.org/officeDocument/2006/relationships/hyperlink" Target="https://kms.kaysis.gov.tr/Home/Goster/41945%20" TargetMode="External"/><Relationship Id="rId34" Type="http://schemas.openxmlformats.org/officeDocument/2006/relationships/hyperlink" Target="file:///C:\Users\User\Downloads\B.3.5.4.%09https:\www.bilecik.edu.tr\bozuyuk\Icerik\Temel_Bankac%25C4%25B1l%25C4%25B1k_ve_Ya%25C5%259Fanm%25C4%25B1%25C5%259F_Olaylarla_Operasyon_Risk_E%25C4%259Fitimi_3ab76" TargetMode="External"/><Relationship Id="rId42" Type="http://schemas.openxmlformats.org/officeDocument/2006/relationships/hyperlink" Target="https://kms.kaysis.gov.tr/Home/Goster/180586%20" TargetMode="External"/><Relationship Id="rId47" Type="http://schemas.openxmlformats.org/officeDocument/2006/relationships/hyperlink" Target="file:///C:\Users\User\Downloads\B.3.5.7.%09https:\www.bilecik.edu.tr\bozuyuk\Icerik\4__Uluslararas%25C4%25B1_Bankac%25C4%25B1l%25C4%25B1k_Kongresi_Ger%25C3%25A7ekle%25C5%259Ftirildi_f2b34" TargetMode="External"/><Relationship Id="rId7" Type="http://schemas.openxmlformats.org/officeDocument/2006/relationships/hyperlink" Target="https://www.mevzuat.gov.tr/mevzuat?MevzuatNo=19573&amp;MevzuatTur=7&amp;MevzuatTertip=5%20" TargetMode="External"/><Relationship Id="rId12" Type="http://schemas.openxmlformats.org/officeDocument/2006/relationships/hyperlink" Target="https://bilecik.edu.tr/bozuyuk-muhasebevevergi/Icerik/2024_2025_DERS_PROGRAMLARI" TargetMode="External"/><Relationship Id="rId17" Type="http://schemas.openxmlformats.org/officeDocument/2006/relationships/hyperlink" Target="https://www.bilecik.edu.tr/dosya/12962_d44a_IME_yonerge.pdf" TargetMode="External"/><Relationship Id="rId25" Type="http://schemas.openxmlformats.org/officeDocument/2006/relationships/hyperlink" Target="file:///C:\Users\User\Downloads\3https:\bilecik.edu.tr\bozuyuk\Icerik\Merkezi_Yerlestirme_Puaniyla_Yatay_Gecis_531" TargetMode="External"/><Relationship Id="rId33" Type="http://schemas.openxmlformats.org/officeDocument/2006/relationships/hyperlink" Target="file:///C:\Users\User\Downloads\B.3.5.3.%09https:\www.bilecik.edu.tr\bozuyuk\Icerik\K%25C3%25BClt%25C3%25BCr_Bulu%25C5%259Fmas%25C4%25B1_77d83" TargetMode="External"/><Relationship Id="rId38" Type="http://schemas.openxmlformats.org/officeDocument/2006/relationships/hyperlink" Target="https://www.bilecik.edu.tr/bozuyuk/Icerik/Grafik_Tasar%C4%B1m%C4%B1_Program%C4%B1_Matbaa_Teknik_Gezisi_ee6dd" TargetMode="External"/><Relationship Id="rId46" Type="http://schemas.openxmlformats.org/officeDocument/2006/relationships/hyperlink" Target="https://avesis.bilecik.edu.tr/" TargetMode="External"/><Relationship Id="rId2" Type="http://schemas.openxmlformats.org/officeDocument/2006/relationships/numbering" Target="numbering.xml"/><Relationship Id="rId16" Type="http://schemas.openxmlformats.org/officeDocument/2006/relationships/hyperlink" Target="http://ebs.bilecik.edu.tr" TargetMode="External"/><Relationship Id="rId20" Type="http://schemas.openxmlformats.org/officeDocument/2006/relationships/hyperlink" Target="file:///C:\Users\User\Downloads\B.2.1.1.%09https:\ders.bilecik.edu.tr\login\index.php" TargetMode="External"/><Relationship Id="rId29" Type="http://schemas.openxmlformats.org/officeDocument/2006/relationships/hyperlink" Target="https://bilecik.edu.tr/engelliogrenciler/" TargetMode="External"/><Relationship Id="rId41" Type="http://schemas.openxmlformats.org/officeDocument/2006/relationships/hyperlink" Target="https://kms.kaysis.gov.tr/Home/Goster/139898%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lecik.edu.tr/kalite/Icerik/Ders_ve_%C3%96%C4%9Fretim_Eleman%C4%B1_De%C4%9Ferlendirme_Anketleri_cb7f2" TargetMode="External"/><Relationship Id="rId24" Type="http://schemas.openxmlformats.org/officeDocument/2006/relationships/hyperlink" Target="https://kms.kaysis.gov.tr/Home/Kurum/52300778" TargetMode="External"/><Relationship Id="rId32" Type="http://schemas.openxmlformats.org/officeDocument/2006/relationships/hyperlink" Target="file:///C:\Users\User\Downloads\B.3.5.2.%09https:\www.bilecik.edu.tr\bozuyuk\Icerik\Losev_Fayda_Projesi_Farkindalik_Egitimi" TargetMode="External"/><Relationship Id="rId37" Type="http://schemas.openxmlformats.org/officeDocument/2006/relationships/hyperlink" Target="file:///C:\Users\User\Downloads\B.3.5.7.%09https:\www.bilecik.edu.tr\bozuyuk\Icerik\4__Uluslararas%25C4%25B1_Bankac%25C4%25B1l%25C4%25B1k_Kongresi_Ger%25C3%25A7ekle%25C5%259Ftirildi_f2b34" TargetMode="External"/><Relationship Id="rId40" Type="http://schemas.openxmlformats.org/officeDocument/2006/relationships/hyperlink" Target="https://avesis.bilecik.edu.tr/cumhur.sahin" TargetMode="External"/><Relationship Id="rId45" Type="http://schemas.openxmlformats.org/officeDocument/2006/relationships/hyperlink" Target="https://www.resmigazete.gov.tr/eskiler/2016/03/20160314-1.htm" TargetMode="External"/><Relationship Id="rId5" Type="http://schemas.openxmlformats.org/officeDocument/2006/relationships/settings" Target="settings.xml"/><Relationship Id="rId15" Type="http://schemas.openxmlformats.org/officeDocument/2006/relationships/hyperlink" Target="http://ebs.bilecik.edu.tr/Program/ProgramYeterlilikleriIliskisi?BolumNo=148" TargetMode="External"/><Relationship Id="rId23" Type="http://schemas.openxmlformats.org/officeDocument/2006/relationships/hyperlink" Target="https://kms.kaysis.gov.tr/Home/Goster/41945%20" TargetMode="External"/><Relationship Id="rId28" Type="http://schemas.openxmlformats.org/officeDocument/2006/relationships/hyperlink" Target="file:///C:\Users\User\Downloads\B.3.2.1.%09https:\bilecik.edu.tr\bozuyuk-muhasebevevergi\Icerik\Kariyer_Danismanligi_Gorusme_Programi_06a" TargetMode="External"/><Relationship Id="rId36" Type="http://schemas.openxmlformats.org/officeDocument/2006/relationships/hyperlink" Target="file:///C:\Users\User\Downloads\B.3.5.6.%09https:\www.bilecik.edu.tr\bozuyuk\Icerik\Mimar_Sinan_MTAL_%25C3%2596%25C4%259Frencilerinin_Ziyareti_64ecb" TargetMode="External"/><Relationship Id="rId49" Type="http://schemas.openxmlformats.org/officeDocument/2006/relationships/theme" Target="theme/theme1.xml"/><Relationship Id="rId10" Type="http://schemas.openxmlformats.org/officeDocument/2006/relationships/hyperlink" Target="http://ebs.bilecik.edu.tr/Bolumler?BolumAd=OnLisans" TargetMode="External"/><Relationship Id="rId19" Type="http://schemas.openxmlformats.org/officeDocument/2006/relationships/hyperlink" Target="file:///C:\Users\User\Downloads\B.1.5.3.%09https:\bikam.bilecik.edu.tr\site\userlogin" TargetMode="External"/><Relationship Id="rId31" Type="http://schemas.openxmlformats.org/officeDocument/2006/relationships/hyperlink" Target="file:///C:\Users\User\Downloads\B.3.5.1.%09https:\www.bilecik.edu.tr\bozuyuk\Icerik\Oryantasyon_E%25C4%259Fitimi_142bd" TargetMode="External"/><Relationship Id="rId44" Type="http://schemas.openxmlformats.org/officeDocument/2006/relationships/hyperlink" Target="https://www.mevzuat.gov.tr/mevzuat?MevzuatNo=2547&amp;MevzuatTur=1&amp;MevzuatTertip=5%20" TargetMode="External"/><Relationship Id="rId4" Type="http://schemas.microsoft.com/office/2007/relationships/stylesWithEffects" Target="stylesWithEffects.xml"/><Relationship Id="rId9" Type="http://schemas.openxmlformats.org/officeDocument/2006/relationships/hyperlink" Target="file:///C:\Users\User\Downloads\1https:\www.bilecik.edu.tr\bozuyuk\Icerik\2024_2025_Egitim_ogretim_Yili_Guz_Yariyili_icin_ogrenci_Degerlendirme_Anketleri_e78" TargetMode="External"/><Relationship Id="rId14" Type="http://schemas.openxmlformats.org/officeDocument/2006/relationships/hyperlink" Target="file:///C:\Users\User\Downloads\B.1.3.1.%09https:\uluslararasi.yok.gov.tr\uluslararasilasma\bologna\turkiye-yuksekogretim-yeterlilikler-cercevesi" TargetMode="External"/><Relationship Id="rId22" Type="http://schemas.openxmlformats.org/officeDocument/2006/relationships/hyperlink" Target="file:///C:\Users\User\Downloads\B.2.3.1.%09https:\kms.kaysis.gov.tr\Home\Goster\154305" TargetMode="External"/><Relationship Id="rId27" Type="http://schemas.openxmlformats.org/officeDocument/2006/relationships/hyperlink" Target="https://ders.bilecik.edu.tr/login/index.php" TargetMode="External"/><Relationship Id="rId30" Type="http://schemas.openxmlformats.org/officeDocument/2006/relationships/hyperlink" Target="https://kms.kaysis.gov.tr/Home/Goster/104435%20" TargetMode="External"/><Relationship Id="rId35" Type="http://schemas.openxmlformats.org/officeDocument/2006/relationships/hyperlink" Target="file:///C:\Users\User\Downloads\B.3.5.5.%09https:\www.bilecik.edu.tr\bozuyuk\Icerik\Y%25C3%25BCksekokulumuzda_Finansal_Okuryazarl%25C4%25B1k_E%25C4%259Fitimi_cb249" TargetMode="External"/><Relationship Id="rId43" Type="http://schemas.openxmlformats.org/officeDocument/2006/relationships/hyperlink" Target="file:///C:\Users\User\Downloads\5https:\www.bilecik.edu.tr\main\icerik\2024_Y%25C4%25B1l%25C4%25B1_Akademik_Te%25C5%259Fvik_%25C3%2596dene%25C4%259Fi_9cb59" TargetMode="External"/><Relationship Id="rId48" Type="http://schemas.openxmlformats.org/officeDocument/2006/relationships/fontTable" Target="fontTable.xml"/><Relationship Id="rId8" Type="http://schemas.openxmlformats.org/officeDocument/2006/relationships/hyperlink" Target="https://bilecik.edu.tr/bozuyuk/Icerik/%C3%96%C4%9Frenci_(Dilek%C3%A7e_ve_Form)_3ab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3095-3D69-4432-8521-8F6329F5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7001</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2025-11-04T09:02:00Z</dcterms:created>
  <dcterms:modified xsi:type="dcterms:W3CDTF">2025-11-04T09:02:00Z</dcterms:modified>
</cp:coreProperties>
</file>